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gjdgxs" w:id="0"/>
      <w:bookmarkEnd w:id="0"/>
      <w:r w:rsidDel="00000000" w:rsidR="00000000" w:rsidRPr="00000000">
        <w:rPr>
          <w:rtl w:val="0"/>
        </w:rPr>
        <w:t xml:space="preserve">A.</w:t>
        <w:tab/>
        <w:t xml:space="preserve">INSTRUCTIONS TO TENDERERS</w:t>
      </w:r>
    </w:p>
    <w:p w:rsidR="00000000" w:rsidDel="00000000" w:rsidP="00000000" w:rsidRDefault="00000000" w:rsidRPr="00000000" w14:paraId="00000002">
      <w:pPr>
        <w:pStyle w:val="Subtitle"/>
        <w:spacing w:after="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PUBLICATION REF.: </w:t>
      </w:r>
      <w:r w:rsidDel="00000000" w:rsidR="00000000" w:rsidRPr="00000000">
        <w:rPr>
          <w:rFonts w:ascii="Times New Roman" w:cs="Times New Roman" w:eastAsia="Times New Roman" w:hAnsi="Times New Roman"/>
          <w:b w:val="0"/>
          <w:rtl w:val="0"/>
        </w:rPr>
        <w:t xml:space="preserve">IPA III/2024/457-197/TK-005</w:t>
      </w:r>
      <w:r w:rsidDel="00000000" w:rsidR="00000000" w:rsidRPr="00000000">
        <w:rPr>
          <w:rtl w:val="0"/>
        </w:rPr>
      </w:r>
    </w:p>
    <w:p w:rsidR="00000000" w:rsidDel="00000000" w:rsidP="00000000" w:rsidRDefault="00000000" w:rsidRPr="00000000" w14:paraId="00000003">
      <w:pPr>
        <w:pStyle w:val="Subtitle"/>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tenderers fully and unreservedly accept the special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rsidR="00000000" w:rsidDel="00000000" w:rsidP="00000000" w:rsidRDefault="00000000" w:rsidRPr="00000000" w14:paraId="00000004">
      <w:pPr>
        <w:pStyle w:val="Subtitle"/>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instructions set out the rules for the submission, selection and implementation of contracts financed under this call for tenders, in conformity with the practical guide (available on internet: </w:t>
      </w:r>
      <w:hyperlink r:id="rId8">
        <w:r w:rsidDel="00000000" w:rsidR="00000000" w:rsidRPr="00000000">
          <w:rPr>
            <w:rFonts w:ascii="Times New Roman" w:cs="Times New Roman" w:eastAsia="Times New Roman" w:hAnsi="Times New Roman"/>
            <w:color w:val="0000ff"/>
            <w:sz w:val="22"/>
            <w:szCs w:val="22"/>
            <w:u w:val="single"/>
            <w:rtl w:val="0"/>
          </w:rPr>
          <w:t xml:space="preserve">https://intpa-econtent-public.s3.eu-west-1.amazonaws.com/ePrag/2021.1/ePrag-en-2021.1.pdf</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5">
      <w:pPr>
        <w:pStyle w:val="Heading1"/>
        <w:rPr/>
      </w:pPr>
      <w:bookmarkStart w:colFirst="0" w:colLast="0" w:name="_heading=h.30j0zll" w:id="1"/>
      <w:bookmarkEnd w:id="1"/>
      <w:r w:rsidDel="00000000" w:rsidR="00000000" w:rsidRPr="00000000">
        <w:rPr>
          <w:rtl w:val="0"/>
        </w:rPr>
        <w:t xml:space="preserve">1. Supplies to be provided</w:t>
      </w:r>
    </w:p>
    <w:p w:rsidR="00000000" w:rsidDel="00000000" w:rsidP="00000000" w:rsidRDefault="00000000" w:rsidRPr="00000000" w14:paraId="00000006">
      <w:pPr>
        <w:pStyle w:val="Heading2"/>
        <w:ind w:left="567" w:hanging="567"/>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sz w:val="22"/>
          <w:szCs w:val="22"/>
          <w:rtl w:val="0"/>
        </w:rPr>
        <w:t xml:space="preserve">1.1</w:t>
        <w:tab/>
        <w:t xml:space="preserve">The subject of the contract is the delivery of consumables and office supplies such as but not limited to the following supplies : stationery, printing paper, toner cartridges, cleaning supplies, and other daily-use office consumables for the office in İzmir, Türkiye.</w:t>
      </w:r>
      <w:r w:rsidDel="00000000" w:rsidR="00000000" w:rsidRPr="00000000">
        <w:rPr>
          <w:rtl w:val="0"/>
        </w:rPr>
      </w:r>
    </w:p>
    <w:p w:rsidR="00000000" w:rsidDel="00000000" w:rsidP="00000000" w:rsidRDefault="00000000" w:rsidRPr="00000000" w14:paraId="00000007">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supplies are to be delivered in two lots to the place(s) where supplies are to be delivered DDP</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and the implementation period in days, in accordance with the contract notice.</w:t>
      </w:r>
    </w:p>
    <w:p w:rsidR="00000000" w:rsidDel="00000000" w:rsidP="00000000" w:rsidRDefault="00000000" w:rsidRPr="00000000" w14:paraId="00000008">
      <w:pPr>
        <w:pStyle w:val="Heading2"/>
        <w:keepNext w:val="0"/>
        <w:ind w:left="567" w:hanging="567"/>
        <w:jc w:val="both"/>
        <w:rPr>
          <w:rFonts w:ascii="Times New Roman" w:cs="Times New Roman" w:eastAsia="Times New Roman" w:hAnsi="Times New Roman"/>
          <w:sz w:val="22"/>
          <w:szCs w:val="22"/>
        </w:rPr>
      </w:pPr>
      <w:bookmarkStart w:colFirst="0" w:colLast="0" w:name="_heading=h.1fob9te" w:id="2"/>
      <w:bookmarkEnd w:id="2"/>
      <w:r w:rsidDel="00000000" w:rsidR="00000000" w:rsidRPr="00000000">
        <w:rPr>
          <w:rFonts w:ascii="Times New Roman" w:cs="Times New Roman" w:eastAsia="Times New Roman" w:hAnsi="Times New Roman"/>
          <w:sz w:val="22"/>
          <w:szCs w:val="22"/>
          <w:rtl w:val="0"/>
        </w:rPr>
        <w:t xml:space="preserve">1.2</w:t>
        <w:tab/>
        <w:t xml:space="preserve">The supplies must comply fully with the technical specifications set out in the tender dossier (technical annex) and conform in all respects with the drawings, quantities, models, samples, measurements and other instructions.</w:t>
      </w:r>
    </w:p>
    <w:p w:rsidR="00000000" w:rsidDel="00000000" w:rsidP="00000000" w:rsidRDefault="00000000" w:rsidRPr="00000000" w14:paraId="00000009">
      <w:pPr>
        <w:pStyle w:val="Heading2"/>
        <w:keepNext w:val="0"/>
        <w:tabs>
          <w:tab w:val="left" w:leader="none" w:pos="709"/>
        </w:tabs>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1.3 </w:t>
        <w:tab/>
        <w:t xml:space="preserve">Tenderers are not authorised to tender for a variant solution in addition to the present tender.</w:t>
      </w:r>
      <w:r w:rsidDel="00000000" w:rsidR="00000000" w:rsidRPr="00000000">
        <w:rPr>
          <w:rtl w:val="0"/>
        </w:rPr>
      </w:r>
    </w:p>
    <w:p w:rsidR="00000000" w:rsidDel="00000000" w:rsidP="00000000" w:rsidRDefault="00000000" w:rsidRPr="00000000" w14:paraId="0000000A">
      <w:pPr>
        <w:pStyle w:val="Heading2"/>
        <w:ind w:left="567" w:hanging="567"/>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B">
      <w:pPr>
        <w:pStyle w:val="Heading1"/>
        <w:rPr/>
      </w:pPr>
      <w:bookmarkStart w:colFirst="0" w:colLast="0" w:name="_heading=h.3znysh7" w:id="3"/>
      <w:bookmarkEnd w:id="3"/>
      <w:r w:rsidDel="00000000" w:rsidR="00000000" w:rsidRPr="00000000">
        <w:rPr>
          <w:rtl w:val="0"/>
        </w:rPr>
        <w:t xml:space="preserve">2. Timetable</w:t>
      </w:r>
    </w:p>
    <w:tbl>
      <w:tblPr>
        <w:tblStyle w:val="Table1"/>
        <w:tblW w:w="97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5"/>
        <w:gridCol w:w="3090"/>
        <w:gridCol w:w="2715"/>
        <w:tblGridChange w:id="0">
          <w:tblGrid>
            <w:gridCol w:w="3975"/>
            <w:gridCol w:w="3090"/>
            <w:gridCol w:w="2715"/>
          </w:tblGrid>
        </w:tblGridChange>
      </w:tblGrid>
      <w:tr>
        <w:trPr>
          <w:cantSplit w:val="0"/>
          <w:tblHeader w:val="0"/>
        </w:trPr>
        <w:tc>
          <w:tcPr>
            <w:tcBorders>
              <w:bottom w:color="000000" w:space="0" w:sz="0" w:val="nil"/>
            </w:tcBorders>
          </w:tcPr>
          <w:p w:rsidR="00000000" w:rsidDel="00000000" w:rsidP="00000000" w:rsidRDefault="00000000" w:rsidRPr="00000000" w14:paraId="0000000C">
            <w:pPr>
              <w:keepNext w:val="1"/>
              <w:jc w:val="both"/>
              <w:rPr>
                <w:rFonts w:ascii="Times New Roman" w:cs="Times New Roman" w:eastAsia="Times New Roman" w:hAnsi="Times New Roman"/>
              </w:rPr>
            </w:pPr>
            <w:r w:rsidDel="00000000" w:rsidR="00000000" w:rsidRPr="00000000">
              <w:rPr>
                <w:rtl w:val="0"/>
              </w:rPr>
            </w:r>
          </w:p>
        </w:tc>
        <w:tc>
          <w:tcPr>
            <w:shd w:fill="e6e6e6" w:val="clear"/>
          </w:tcPr>
          <w:p w:rsidR="00000000" w:rsidDel="00000000" w:rsidP="00000000" w:rsidRDefault="00000000" w:rsidRPr="00000000" w14:paraId="0000000D">
            <w:pPr>
              <w:keepNext w:val="1"/>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DATE</w:t>
            </w:r>
          </w:p>
        </w:tc>
        <w:tc>
          <w:tcPr>
            <w:tcBorders>
              <w:bottom w:color="000000" w:space="0" w:sz="0" w:val="nil"/>
            </w:tcBorders>
            <w:shd w:fill="e6e6e6" w:val="clear"/>
          </w:tcPr>
          <w:p w:rsidR="00000000" w:rsidDel="00000000" w:rsidP="00000000" w:rsidRDefault="00000000" w:rsidRPr="00000000" w14:paraId="0000000E">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TIME</w:t>
            </w:r>
          </w:p>
        </w:tc>
      </w:tr>
      <w:tr>
        <w:trPr>
          <w:cantSplit w:val="0"/>
          <w:tblHeader w:val="0"/>
        </w:trPr>
        <w:tc>
          <w:tcPr>
            <w:shd w:fill="e6e6e6" w:val="clear"/>
          </w:tcPr>
          <w:p w:rsidR="00000000" w:rsidDel="00000000" w:rsidP="00000000" w:rsidRDefault="00000000" w:rsidRPr="00000000" w14:paraId="0000000F">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Clarification meeting / site visit (if any)</w:t>
            </w:r>
          </w:p>
        </w:tc>
        <w:tc>
          <w:tcPr/>
          <w:p w:rsidR="00000000" w:rsidDel="00000000" w:rsidP="00000000" w:rsidRDefault="00000000" w:rsidRPr="00000000" w14:paraId="0000001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p w:rsidR="00000000" w:rsidDel="00000000" w:rsidP="00000000" w:rsidRDefault="00000000" w:rsidRPr="00000000" w14:paraId="0000001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12">
            <w:pPr>
              <w:keepNext w:val="1"/>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Deadline for requesting clarifications from the contracting authority</w:t>
            </w:r>
          </w:p>
        </w:tc>
        <w:tc>
          <w:tcPr/>
          <w:p w:rsidR="00000000" w:rsidDel="00000000" w:rsidP="00000000" w:rsidRDefault="00000000" w:rsidRPr="00000000" w14:paraId="00000013">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Date 21 days before deadline for submission of tenders </w:t>
            </w:r>
            <w:r w:rsidDel="00000000" w:rsidR="00000000" w:rsidRPr="00000000">
              <w:rPr>
                <w:rtl w:val="0"/>
              </w:rPr>
            </w:r>
          </w:p>
        </w:tc>
        <w:tc>
          <w:tcPr/>
          <w:p w:rsidR="00000000" w:rsidDel="00000000" w:rsidP="00000000" w:rsidRDefault="00000000" w:rsidRPr="00000000" w14:paraId="0000001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5">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date on which clarifications are issued by the contracting authority</w:t>
            </w:r>
          </w:p>
        </w:tc>
        <w:tc>
          <w:tcPr/>
          <w:p w:rsidR="00000000" w:rsidDel="00000000" w:rsidP="00000000" w:rsidRDefault="00000000" w:rsidRPr="00000000" w14:paraId="00000016">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8 days before deadline for submission of tenders </w:t>
            </w:r>
            <w:r w:rsidDel="00000000" w:rsidR="00000000" w:rsidRPr="00000000">
              <w:rPr>
                <w:rtl w:val="0"/>
              </w:rPr>
            </w:r>
          </w:p>
        </w:tc>
        <w:tc>
          <w:tcPr/>
          <w:p w:rsidR="00000000" w:rsidDel="00000000" w:rsidP="00000000" w:rsidRDefault="00000000" w:rsidRPr="00000000" w14:paraId="0000001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8">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Deadline for submission of tenders</w:t>
            </w:r>
          </w:p>
        </w:tc>
        <w:tc>
          <w:tcPr/>
          <w:p w:rsidR="00000000" w:rsidDel="00000000" w:rsidP="00000000" w:rsidRDefault="00000000" w:rsidRPr="00000000" w14:paraId="00000019">
            <w:pPr>
              <w:keepNext w:val="1"/>
              <w:keepLines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 days from invitation</w:t>
            </w:r>
          </w:p>
        </w:tc>
        <w:tc>
          <w:tcPr/>
          <w:p w:rsidR="00000000" w:rsidDel="00000000" w:rsidP="00000000" w:rsidRDefault="00000000" w:rsidRPr="00000000" w14:paraId="0000001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B">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 opening session</w:t>
            </w:r>
          </w:p>
        </w:tc>
        <w:tc>
          <w:tcPr/>
          <w:p w:rsidR="00000000" w:rsidDel="00000000" w:rsidP="00000000" w:rsidRDefault="00000000" w:rsidRPr="00000000" w14:paraId="0000001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days after the submission deadline </w:t>
            </w:r>
          </w:p>
        </w:tc>
        <w:tc>
          <w:tcPr/>
          <w:p w:rsidR="00000000" w:rsidDel="00000000" w:rsidP="00000000" w:rsidRDefault="00000000" w:rsidRPr="00000000" w14:paraId="0000001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E">
            <w:pPr>
              <w:tabs>
                <w:tab w:val="left" w:leader="none" w:pos="851"/>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Notification of award to the successful tenderer</w:t>
            </w:r>
          </w:p>
        </w:tc>
        <w:tc>
          <w:tcPr/>
          <w:p w:rsidR="00000000" w:rsidDel="00000000" w:rsidP="00000000" w:rsidRDefault="00000000" w:rsidRPr="00000000" w14:paraId="0000001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days after the submission deadline </w:t>
            </w:r>
          </w:p>
        </w:tc>
        <w:tc>
          <w:tcPr/>
          <w:p w:rsidR="00000000" w:rsidDel="00000000" w:rsidP="00000000" w:rsidRDefault="00000000" w:rsidRPr="00000000" w14:paraId="00000020">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21">
            <w:pPr>
              <w:tabs>
                <w:tab w:val="left" w:leader="none" w:pos="851"/>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 of the contract</w:t>
            </w:r>
          </w:p>
        </w:tc>
        <w:tc>
          <w:tcPr/>
          <w:p w:rsidR="00000000" w:rsidDel="00000000" w:rsidP="00000000" w:rsidRDefault="00000000" w:rsidRPr="00000000" w14:paraId="0000002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 days after the submission deadline </w:t>
            </w:r>
          </w:p>
        </w:tc>
        <w:tc>
          <w:tcPr/>
          <w:p w:rsidR="00000000" w:rsidDel="00000000" w:rsidP="00000000" w:rsidRDefault="00000000" w:rsidRPr="00000000" w14:paraId="00000023">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bl>
    <w:p w:rsidR="00000000" w:rsidDel="00000000" w:rsidP="00000000" w:rsidRDefault="00000000" w:rsidRPr="00000000" w14:paraId="00000024">
      <w:pPr>
        <w:tabs>
          <w:tab w:val="left" w:leader="none" w:pos="851"/>
        </w:tabs>
        <w:jc w:val="both"/>
        <w:rPr>
          <w:rFonts w:ascii="Times New Roman" w:cs="Times New Roman" w:eastAsia="Times New Roman" w:hAnsi="Times New Roman"/>
          <w:b w:val="1"/>
          <w:sz w:val="22"/>
          <w:szCs w:val="22"/>
        </w:rPr>
      </w:pPr>
      <w:bookmarkStart w:colFirst="0" w:colLast="0" w:name="_heading=h.2et92p0" w:id="4"/>
      <w:bookmarkEnd w:id="4"/>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sz w:val="22"/>
          <w:szCs w:val="22"/>
          <w:rtl w:val="0"/>
        </w:rPr>
        <w:t xml:space="preserve">* The time zone of the country of the contracting authority.</w:t>
        <w:br w:type="textWrapping"/>
        <w:t xml:space="preserve">**</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b w:val="1"/>
          <w:sz w:val="22"/>
          <w:szCs w:val="22"/>
          <w:rtl w:val="0"/>
        </w:rPr>
        <w:t xml:space="preserve">Provisional date. Days presented are calendar based.</w:t>
      </w:r>
    </w:p>
    <w:p w:rsidR="00000000" w:rsidDel="00000000" w:rsidP="00000000" w:rsidRDefault="00000000" w:rsidRPr="00000000" w14:paraId="00000025">
      <w:pPr>
        <w:spacing w:after="144" w:before="288" w:lineRule="auto"/>
        <w:rPr>
          <w:rFonts w:ascii="Times New Roman" w:cs="Times New Roman" w:eastAsia="Times New Roman" w:hAnsi="Times New Roman"/>
          <w:b w:val="1"/>
        </w:rPr>
      </w:pPr>
      <w:bookmarkStart w:colFirst="0" w:colLast="0" w:name="_heading=h.vial5520a10w" w:id="5"/>
      <w:bookmarkEnd w:id="5"/>
      <w:r w:rsidDel="00000000" w:rsidR="00000000" w:rsidRPr="00000000">
        <w:rPr>
          <w:rFonts w:ascii="Times New Roman" w:cs="Times New Roman" w:eastAsia="Times New Roman" w:hAnsi="Times New Roman"/>
          <w:b w:val="1"/>
          <w:sz w:val="22"/>
          <w:szCs w:val="22"/>
          <w:rtl w:val="0"/>
        </w:rPr>
        <w:t xml:space="preserve">*** Should the last day of the indicated calendar be a non working day, deadlines will be extended until the next working day.</w:t>
      </w:r>
      <w:r w:rsidDel="00000000" w:rsidR="00000000" w:rsidRPr="00000000">
        <w:rPr>
          <w:rtl w:val="0"/>
        </w:rPr>
      </w:r>
    </w:p>
    <w:p w:rsidR="00000000" w:rsidDel="00000000" w:rsidP="00000000" w:rsidRDefault="00000000" w:rsidRPr="00000000" w14:paraId="00000026">
      <w:pPr>
        <w:pStyle w:val="Heading1"/>
        <w:rPr/>
      </w:pPr>
      <w:bookmarkStart w:colFirst="0" w:colLast="0" w:name="_heading=h.tyjcwt" w:id="6"/>
      <w:bookmarkEnd w:id="6"/>
      <w:r w:rsidDel="00000000" w:rsidR="00000000" w:rsidRPr="00000000">
        <w:rPr>
          <w:rtl w:val="0"/>
        </w:rPr>
        <w:t xml:space="preserve">3. Participation</w:t>
      </w:r>
    </w:p>
    <w:p w:rsidR="00000000" w:rsidDel="00000000" w:rsidP="00000000" w:rsidRDefault="00000000" w:rsidRPr="00000000" w14:paraId="00000027">
      <w:pPr>
        <w:pStyle w:val="Heading2"/>
        <w:keepNext w:val="0"/>
        <w:tabs>
          <w:tab w:val="left" w:leader="none" w:pos="709"/>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w:t>
        <w:tab/>
        <w:t xml:space="preserve">The eligibility requirements detailed in the Additional information about the contract notice (Annex A5f) or, if applicable, in the Contract Notice (C2), apply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contracting authority may accept other satisfactory evidence that these conditions are met.</w:t>
      </w:r>
    </w:p>
    <w:p w:rsidR="00000000" w:rsidDel="00000000" w:rsidP="00000000" w:rsidRDefault="00000000" w:rsidRPr="00000000" w14:paraId="00000028">
      <w:pPr>
        <w:pStyle w:val="Heading2"/>
        <w:keepNext w:val="0"/>
        <w:tabs>
          <w:tab w:val="left" w:leader="none" w:pos="709"/>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w:t>
        <w:tab/>
        <w:t xml:space="preserve">Natural or legal persons are not entitled to participate in this tender procedure or be awarded a contract if they are in any of the situations mentioned in Sections 2.4. (EU restrictive measures), 2.6.10.1. (exclusion criteria) or 2.6.10.1.2. (rejection from a procedure) of the practical guide. Should they do so, their tender will be considered unsuitable or irregular respectively. In the cases listed in Section 2.6.10.1. of the practical guide tenderers may also be excluded from EU financed procedures and be subject to financial penalties up to 10 % of the total value of the contract in</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accordance with the Financial Regulation in force. This information may be published on the Commission website in accordance with the Financial Regulation in force.</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Tenderers must provide declarations on honour</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Fonts w:ascii="Times New Roman" w:cs="Times New Roman" w:eastAsia="Times New Roman" w:hAnsi="Times New Roman"/>
          <w:sz w:val="22"/>
          <w:szCs w:val="22"/>
          <w:rtl w:val="0"/>
        </w:rPr>
        <w:t xml:space="preserve"> that they are not in any of these exclusion situations. Such declarations must also be submitted by all the members of a joint venture/consortium, by any subcontractor and by any capacity providing entities. Tenderers who make false declarations may also incur financial penalties and exclusion in accordance with the Financial Regulation in force. Their tender will be considered irregular.</w:t>
      </w:r>
    </w:p>
    <w:p w:rsidR="00000000" w:rsidDel="00000000" w:rsidP="00000000" w:rsidRDefault="00000000" w:rsidRPr="00000000" w14:paraId="00000029">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exclusion situations referred to above also apply to all members of a joint venture/consortium, all subcontractors and all suppliers to tenderers, as well as to all entities upon whose capacity the tenderer relies for the selection criteria. In cases of doubt over declarations, the contracting authority will request documentary evidence that subcontractors and/or capacity providing entities are not in a situation that excludes them.</w:t>
      </w:r>
    </w:p>
    <w:p w:rsidR="00000000" w:rsidDel="00000000" w:rsidP="00000000" w:rsidRDefault="00000000" w:rsidRPr="00000000" w14:paraId="0000002A">
      <w:pPr>
        <w:pStyle w:val="Heading2"/>
        <w:keepNext w:val="0"/>
        <w:tabs>
          <w:tab w:val="left" w:leader="none" w:pos="8080"/>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w:t>
        <w:tab/>
        <w:t xml:space="preserve">To be eligible to take part in this tender procedure, tenderers must prove to the satisfaction of the contracting authority that they comply with the necessary legal, technical and financial requirements and have the means to carry out the contract effectively.</w:t>
      </w:r>
    </w:p>
    <w:p w:rsidR="00000000" w:rsidDel="00000000" w:rsidP="00000000" w:rsidRDefault="00000000" w:rsidRPr="00000000" w14:paraId="0000002B">
      <w:pPr>
        <w:pStyle w:val="Heading2"/>
        <w:tabs>
          <w:tab w:val="left" w:leader="none" w:pos="792"/>
          <w:tab w:val="left" w:leader="none" w:pos="8080"/>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3.4.</w:t>
        <w:tab/>
        <w:t xml:space="preserve">Subcontracting is allowed.  The tenderer and, where applicable, entities on whose capacities it has relied with regard to criteria relating to the economic and financial capacity shall be jointly liable for the performance of the contract.</w:t>
      </w:r>
    </w:p>
    <w:p w:rsidR="00000000" w:rsidDel="00000000" w:rsidP="00000000" w:rsidRDefault="00000000" w:rsidRPr="00000000" w14:paraId="0000002C">
      <w:pPr>
        <w:pStyle w:val="Heading1"/>
        <w:rPr/>
      </w:pPr>
      <w:bookmarkStart w:colFirst="0" w:colLast="0" w:name="_heading=h.3dy6vkm" w:id="7"/>
      <w:bookmarkEnd w:id="7"/>
      <w:r w:rsidDel="00000000" w:rsidR="00000000" w:rsidRPr="00000000">
        <w:rPr>
          <w:rtl w:val="0"/>
        </w:rPr>
        <w:t xml:space="preserve">4. Origin</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67"/>
        </w:tabs>
        <w:ind w:left="567" w:hanging="567"/>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4.1 </w:t>
        <w:tab/>
        <w:t xml:space="preserve">All supplies under this contract may originate in any country.</w:t>
      </w:r>
    </w:p>
    <w:p w:rsidR="00000000" w:rsidDel="00000000" w:rsidP="00000000" w:rsidRDefault="00000000" w:rsidRPr="00000000" w14:paraId="0000002E">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w:t>
        <w:tab/>
        <w:t xml:space="preserve">When submitting tenders, tenderers must state expressly that all the goods meet the requirements concerning origin and must state the countries of origin. They may be asked to provide additional information in this connection.</w:t>
      </w:r>
    </w:p>
    <w:p w:rsidR="00000000" w:rsidDel="00000000" w:rsidP="00000000" w:rsidRDefault="00000000" w:rsidRPr="00000000" w14:paraId="0000002F">
      <w:pPr>
        <w:pStyle w:val="Heading1"/>
        <w:rPr/>
      </w:pPr>
      <w:bookmarkStart w:colFirst="0" w:colLast="0" w:name="_heading=h.1t3h5sf" w:id="8"/>
      <w:bookmarkEnd w:id="8"/>
      <w:r w:rsidDel="00000000" w:rsidR="00000000" w:rsidRPr="00000000">
        <w:rPr>
          <w:rtl w:val="0"/>
        </w:rPr>
        <w:t xml:space="preserve">5. Type of contract</w:t>
      </w:r>
    </w:p>
    <w:p w:rsidR="00000000" w:rsidDel="00000000" w:rsidP="00000000" w:rsidRDefault="00000000" w:rsidRPr="00000000" w14:paraId="00000030">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Unit-price</w:t>
      </w:r>
    </w:p>
    <w:p w:rsidR="00000000" w:rsidDel="00000000" w:rsidP="00000000" w:rsidRDefault="00000000" w:rsidRPr="00000000" w14:paraId="00000031">
      <w:pPr>
        <w:pStyle w:val="Heading1"/>
        <w:rPr/>
      </w:pPr>
      <w:bookmarkStart w:colFirst="0" w:colLast="0" w:name="_heading=h.4d34og8" w:id="9"/>
      <w:bookmarkEnd w:id="9"/>
      <w:r w:rsidDel="00000000" w:rsidR="00000000" w:rsidRPr="00000000">
        <w:rPr>
          <w:rtl w:val="0"/>
        </w:rPr>
        <w:t xml:space="preserve">6. Currency</w:t>
      </w:r>
    </w:p>
    <w:p w:rsidR="00000000" w:rsidDel="00000000" w:rsidP="00000000" w:rsidRDefault="00000000" w:rsidRPr="00000000" w14:paraId="00000032">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Tenders must be presented in TRY</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33">
      <w:pPr>
        <w:pStyle w:val="Heading1"/>
        <w:rPr/>
      </w:pPr>
      <w:bookmarkStart w:colFirst="0" w:colLast="0" w:name="_heading=h.2s8eyo1" w:id="10"/>
      <w:bookmarkEnd w:id="10"/>
      <w:r w:rsidDel="00000000" w:rsidR="00000000" w:rsidRPr="00000000">
        <w:rPr>
          <w:rtl w:val="0"/>
        </w:rPr>
        <w:t xml:space="preserve">7. Lots</w:t>
      </w:r>
    </w:p>
    <w:p w:rsidR="00000000" w:rsidDel="00000000" w:rsidP="00000000" w:rsidRDefault="00000000" w:rsidRPr="00000000" w14:paraId="00000034">
      <w:pPr>
        <w:pStyle w:val="Heading2"/>
        <w:keepNext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7.1</w:t>
        <w:tab/>
        <w:t xml:space="preserve">This tender procedure is not divided into lots.</w:t>
      </w:r>
    </w:p>
    <w:p w:rsidR="00000000" w:rsidDel="00000000" w:rsidP="00000000" w:rsidRDefault="00000000" w:rsidRPr="00000000" w14:paraId="00000035">
      <w:pPr>
        <w:pStyle w:val="Heading1"/>
        <w:rPr/>
      </w:pPr>
      <w:bookmarkStart w:colFirst="0" w:colLast="0" w:name="_heading=h.3rdcrjn" w:id="11"/>
      <w:bookmarkEnd w:id="11"/>
      <w:r w:rsidDel="00000000" w:rsidR="00000000" w:rsidRPr="00000000">
        <w:rPr>
          <w:rtl w:val="0"/>
        </w:rPr>
        <w:t xml:space="preserve">8. Period of validity</w:t>
      </w:r>
    </w:p>
    <w:p w:rsidR="00000000" w:rsidDel="00000000" w:rsidP="00000000" w:rsidRDefault="00000000" w:rsidRPr="00000000" w14:paraId="00000036">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w:t>
        <w:tab/>
        <w:t xml:space="preserve">Tenderers will be bound by their tenders for a period of 90 days from the deadline for the submission of tenders.</w:t>
      </w:r>
    </w:p>
    <w:p w:rsidR="00000000" w:rsidDel="00000000" w:rsidP="00000000" w:rsidRDefault="00000000" w:rsidRPr="00000000" w14:paraId="00000037">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8.2</w:t>
        <w:tab/>
        <w:t xml:space="preserve">In exceptional cases and prior to the expiry of the original tender validity period, the contracting authority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 In case the contracting authority is required to obtain the recommendation of the panel referred to in Section 2.6.10.1.1. of the practical guide, the contracting authority may, before the validity period expires, request an extension of the validity of the tenders up to the adoption of that recommendation.</w:t>
      </w:r>
    </w:p>
    <w:p w:rsidR="00000000" w:rsidDel="00000000" w:rsidP="00000000" w:rsidRDefault="00000000" w:rsidRPr="00000000" w14:paraId="00000038">
      <w:pPr>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8.3</w:t>
        <w:tab/>
        <w:t xml:space="preserve">The successful tenderer will be bound by its tender for a further period of 60 days. The further period is added to the validity period of the tender irrespective of the date of notification.</w:t>
      </w:r>
      <w:r w:rsidDel="00000000" w:rsidR="00000000" w:rsidRPr="00000000">
        <w:rPr>
          <w:rtl w:val="0"/>
        </w:rPr>
      </w:r>
    </w:p>
    <w:p w:rsidR="00000000" w:rsidDel="00000000" w:rsidP="00000000" w:rsidRDefault="00000000" w:rsidRPr="00000000" w14:paraId="00000039">
      <w:pPr>
        <w:pStyle w:val="Heading1"/>
        <w:rPr/>
      </w:pPr>
      <w:bookmarkStart w:colFirst="0" w:colLast="0" w:name="_heading=h.26in1rg" w:id="12"/>
      <w:bookmarkEnd w:id="12"/>
      <w:r w:rsidDel="00000000" w:rsidR="00000000" w:rsidRPr="00000000">
        <w:rPr>
          <w:rtl w:val="0"/>
        </w:rPr>
        <w:t xml:space="preserve">9. Language of tenders</w:t>
      </w:r>
    </w:p>
    <w:p w:rsidR="00000000" w:rsidDel="00000000" w:rsidP="00000000" w:rsidRDefault="00000000" w:rsidRPr="00000000" w14:paraId="0000003A">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w:t>
        <w:tab/>
        <w:t xml:space="preserve">The tenders, all correspondence and documents related to the tender exchanged by the tenderer and the contracting authority must be written in the language of the procedure, which is English.</w:t>
      </w:r>
    </w:p>
    <w:p w:rsidR="00000000" w:rsidDel="00000000" w:rsidP="00000000" w:rsidRDefault="00000000" w:rsidRPr="00000000" w14:paraId="0000003B">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supporting documents are not written in one of the official languages of the European Union, a translation into the language of the call for tender must be attached. Where the documents are in an official language of the European Union other than English, it is strongly recommended to provide a translation into English, to facilitate evaluation of the documents.</w:t>
      </w:r>
    </w:p>
    <w:p w:rsidR="00000000" w:rsidDel="00000000" w:rsidP="00000000" w:rsidRDefault="00000000" w:rsidRPr="00000000" w14:paraId="0000003C">
      <w:pPr>
        <w:pStyle w:val="Heading1"/>
        <w:rPr/>
      </w:pPr>
      <w:bookmarkStart w:colFirst="0" w:colLast="0" w:name="_heading=h.lnxbz9" w:id="13"/>
      <w:bookmarkEnd w:id="13"/>
      <w:r w:rsidDel="00000000" w:rsidR="00000000" w:rsidRPr="00000000">
        <w:rPr>
          <w:rtl w:val="0"/>
        </w:rPr>
        <w:t xml:space="preserve">10. Submission of tenders</w:t>
      </w:r>
    </w:p>
    <w:p w:rsidR="00000000" w:rsidDel="00000000" w:rsidP="00000000" w:rsidRDefault="00000000" w:rsidRPr="00000000" w14:paraId="0000003D">
      <w:pPr>
        <w:ind w:left="426" w:hanging="426"/>
        <w:rPr>
          <w:rFonts w:ascii="Times New Roman" w:cs="Times New Roman" w:eastAsia="Times New Roman" w:hAnsi="Times New Roman"/>
          <w:sz w:val="22"/>
          <w:szCs w:val="22"/>
          <w:highlight w:val="white"/>
        </w:rPr>
      </w:pPr>
      <w:bookmarkStart w:colFirst="0" w:colLast="0" w:name="_heading=h.35nkun2" w:id="14"/>
      <w:bookmarkEnd w:id="14"/>
      <w:r w:rsidDel="00000000" w:rsidR="00000000" w:rsidRPr="00000000">
        <w:rPr>
          <w:rFonts w:ascii="Times New Roman" w:cs="Times New Roman" w:eastAsia="Times New Roman" w:hAnsi="Times New Roman"/>
          <w:sz w:val="22"/>
          <w:szCs w:val="22"/>
          <w:rtl w:val="0"/>
        </w:rPr>
        <w:t xml:space="preserve">10.1 </w:t>
      </w:r>
      <w:r w:rsidDel="00000000" w:rsidR="00000000" w:rsidRPr="00000000">
        <w:rPr>
          <w:rFonts w:ascii="Times New Roman" w:cs="Times New Roman" w:eastAsia="Times New Roman" w:hAnsi="Times New Roman"/>
          <w:b w:val="1"/>
          <w:sz w:val="22"/>
          <w:szCs w:val="22"/>
          <w:rtl w:val="0"/>
        </w:rPr>
        <w:t xml:space="preserve">Tenders must be sent to the contracting authority before the deadline specified in Contract Notice.</w:t>
      </w:r>
      <w:r w:rsidDel="00000000" w:rsidR="00000000" w:rsidRPr="00000000">
        <w:rPr>
          <w:rFonts w:ascii="Times New Roman" w:cs="Times New Roman" w:eastAsia="Times New Roman" w:hAnsi="Times New Roman"/>
          <w:sz w:val="22"/>
          <w:szCs w:val="22"/>
          <w:rtl w:val="0"/>
        </w:rPr>
        <w:t xml:space="preserve"> They must include all the documents specified in point 11 of these Instructions and be sent to the followi</w:t>
      </w:r>
      <w:r w:rsidDel="00000000" w:rsidR="00000000" w:rsidRPr="00000000">
        <w:rPr>
          <w:rFonts w:ascii="Times New Roman" w:cs="Times New Roman" w:eastAsia="Times New Roman" w:hAnsi="Times New Roman"/>
          <w:sz w:val="22"/>
          <w:szCs w:val="22"/>
          <w:highlight w:val="white"/>
          <w:rtl w:val="0"/>
        </w:rPr>
        <w:t xml:space="preserve">ng e-mail </w:t>
      </w:r>
      <w:r w:rsidDel="00000000" w:rsidR="00000000" w:rsidRPr="00000000">
        <w:rPr>
          <w:highlight w:val="white"/>
          <w:rtl w:val="0"/>
        </w:rPr>
        <w:t xml:space="preserve">address</w:t>
      </w:r>
      <w:r w:rsidDel="00000000" w:rsidR="00000000" w:rsidRPr="00000000">
        <w:rPr>
          <w:rFonts w:ascii="Times New Roman" w:cs="Times New Roman" w:eastAsia="Times New Roman" w:hAnsi="Times New Roman"/>
          <w:sz w:val="22"/>
          <w:szCs w:val="22"/>
          <w:highlight w:val="white"/>
          <w:rtl w:val="0"/>
        </w:rPr>
        <w:t xml:space="preserve">: </w:t>
      </w:r>
    </w:p>
    <w:p w:rsidR="00000000" w:rsidDel="00000000" w:rsidP="00000000" w:rsidRDefault="00000000" w:rsidRPr="00000000" w14:paraId="0000003E">
      <w:pPr>
        <w:ind w:left="426" w:hanging="426"/>
        <w:rPr>
          <w:rFonts w:ascii="Times New Roman" w:cs="Times New Roman" w:eastAsia="Times New Roman" w:hAnsi="Times New Roman"/>
          <w:sz w:val="22"/>
          <w:szCs w:val="22"/>
          <w:highlight w:val="white"/>
        </w:rPr>
      </w:pPr>
      <w:bookmarkStart w:colFirst="0" w:colLast="0" w:name="_heading=h.3hlpbt6031zc" w:id="15"/>
      <w:bookmarkEnd w:id="15"/>
      <w:r w:rsidDel="00000000" w:rsidR="00000000" w:rsidRPr="00000000">
        <w:rPr>
          <w:rFonts w:ascii="Times New Roman" w:cs="Times New Roman" w:eastAsia="Times New Roman" w:hAnsi="Times New Roman"/>
          <w:sz w:val="22"/>
          <w:szCs w:val="22"/>
          <w:highlight w:val="white"/>
          <w:rtl w:val="0"/>
        </w:rPr>
        <w:tab/>
        <w:tab/>
      </w:r>
      <w:hyperlink r:id="rId9">
        <w:r w:rsidDel="00000000" w:rsidR="00000000" w:rsidRPr="00000000">
          <w:rPr>
            <w:rFonts w:ascii="Times New Roman" w:cs="Times New Roman" w:eastAsia="Times New Roman" w:hAnsi="Times New Roman"/>
            <w:color w:val="0000ff"/>
            <w:sz w:val="22"/>
            <w:szCs w:val="22"/>
            <w:highlight w:val="white"/>
            <w:u w:val="single"/>
            <w:rtl w:val="0"/>
          </w:rPr>
          <w:t xml:space="preserve">betul@redi-ngo.eu</w:t>
        </w:r>
      </w:hyperlink>
      <w:r w:rsidDel="00000000" w:rsidR="00000000" w:rsidRPr="00000000">
        <w:rPr>
          <w:rtl w:val="0"/>
        </w:rPr>
      </w:r>
    </w:p>
    <w:p w:rsidR="00000000" w:rsidDel="00000000" w:rsidP="00000000" w:rsidRDefault="00000000" w:rsidRPr="00000000" w14:paraId="0000003F">
      <w:pPr>
        <w:ind w:left="426" w:hanging="426"/>
        <w:rPr>
          <w:rFonts w:ascii="Times New Roman" w:cs="Times New Roman" w:eastAsia="Times New Roman" w:hAnsi="Times New Roman"/>
          <w:sz w:val="22"/>
          <w:szCs w:val="22"/>
          <w:highlight w:val="white"/>
        </w:rPr>
      </w:pPr>
      <w:bookmarkStart w:colFirst="0" w:colLast="0" w:name="_heading=h.g087osqp5ami" w:id="16"/>
      <w:bookmarkEnd w:id="16"/>
      <w:r w:rsidDel="00000000" w:rsidR="00000000" w:rsidRPr="00000000">
        <w:rPr>
          <w:rFonts w:ascii="Times New Roman" w:cs="Times New Roman" w:eastAsia="Times New Roman" w:hAnsi="Times New Roman"/>
          <w:sz w:val="22"/>
          <w:szCs w:val="22"/>
          <w:highlight w:val="white"/>
          <w:rtl w:val="0"/>
        </w:rPr>
        <w:t xml:space="preserve">or by post to the following address:</w:t>
      </w:r>
    </w:p>
    <w:p w:rsidR="00000000" w:rsidDel="00000000" w:rsidP="00000000" w:rsidRDefault="00000000" w:rsidRPr="00000000" w14:paraId="00000040">
      <w:pPr>
        <w:ind w:left="567" w:firstLine="0"/>
        <w:jc w:val="both"/>
        <w:rPr>
          <w:rFonts w:ascii="Times New Roman" w:cs="Times New Roman" w:eastAsia="Times New Roman" w:hAnsi="Times New Roman"/>
          <w:sz w:val="22"/>
          <w:szCs w:val="22"/>
        </w:rPr>
      </w:pPr>
      <w:bookmarkStart w:colFirst="0" w:colLast="0" w:name="_heading=h.1ksv4uv" w:id="17"/>
      <w:bookmarkEnd w:id="17"/>
      <w:r w:rsidDel="00000000" w:rsidR="00000000" w:rsidRPr="00000000">
        <w:rPr>
          <w:rFonts w:ascii="Times New Roman" w:cs="Times New Roman" w:eastAsia="Times New Roman" w:hAnsi="Times New Roman"/>
          <w:color w:val="000000"/>
          <w:sz w:val="22"/>
          <w:szCs w:val="22"/>
          <w:rtl w:val="0"/>
        </w:rPr>
        <w:t xml:space="preserve">Bahçelievler, 1851/10. Sokak No:3, 35600 Karsiyaka Izmir</w:t>
      </w:r>
      <w:r w:rsidDel="00000000" w:rsidR="00000000" w:rsidRPr="00000000">
        <w:rPr>
          <w:rFonts w:ascii="Times New Roman" w:cs="Times New Roman" w:eastAsia="Times New Roman" w:hAnsi="Times New Roman"/>
          <w:color w:val="000000"/>
          <w:sz w:val="22"/>
          <w:szCs w:val="22"/>
          <w:highlight w:val="white"/>
          <w:rtl w:val="0"/>
        </w:rPr>
        <w:t xml:space="preserve"> </w:t>
      </w:r>
      <w:r w:rsidDel="00000000" w:rsidR="00000000" w:rsidRPr="00000000">
        <w:rPr>
          <w:rFonts w:ascii="Times New Roman" w:cs="Times New Roman" w:eastAsia="Times New Roman" w:hAnsi="Times New Roman"/>
          <w:sz w:val="22"/>
          <w:szCs w:val="22"/>
          <w:rtl w:val="0"/>
        </w:rPr>
        <w:t xml:space="preserve">Tenders must comply with the following conditions:</w:t>
      </w:r>
    </w:p>
    <w:p w:rsidR="00000000" w:rsidDel="00000000" w:rsidP="00000000" w:rsidRDefault="00000000" w:rsidRPr="00000000" w14:paraId="00000041">
      <w:pPr>
        <w:ind w:left="567" w:hanging="56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2"/>
          <w:szCs w:val="22"/>
          <w:rtl w:val="0"/>
        </w:rPr>
        <w:t xml:space="preserve">10.2</w:t>
        <w:tab/>
        <w:t xml:space="preserve">If submitted by post, courier or hand-de</w:t>
      </w:r>
      <w:r w:rsidDel="00000000" w:rsidR="00000000" w:rsidRPr="00000000">
        <w:rPr>
          <w:rFonts w:ascii="Times New Roman" w:cs="Times New Roman" w:eastAsia="Times New Roman" w:hAnsi="Times New Roman"/>
          <w:sz w:val="22"/>
          <w:szCs w:val="22"/>
          <w:highlight w:val="white"/>
          <w:rtl w:val="0"/>
        </w:rPr>
        <w:t xml:space="preserve">livery, all tenders must be submitted in one original, marked ‘original’, and two copies signed in the same way as the original and marked ‘copy’.</w:t>
      </w:r>
      <w:r w:rsidDel="00000000" w:rsidR="00000000" w:rsidRPr="00000000">
        <w:rPr>
          <w:rtl w:val="0"/>
        </w:rPr>
      </w:r>
    </w:p>
    <w:p w:rsidR="00000000" w:rsidDel="00000000" w:rsidP="00000000" w:rsidRDefault="00000000" w:rsidRPr="00000000" w14:paraId="00000042">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w:t>
        <w:tab/>
        <w:t xml:space="preserve">The tenders should be submitted:</w:t>
      </w:r>
    </w:p>
    <w:p w:rsidR="00000000" w:rsidDel="00000000" w:rsidP="00000000" w:rsidRDefault="00000000" w:rsidRPr="00000000" w14:paraId="00000043">
      <w:pPr>
        <w:pStyle w:val="Heading2"/>
        <w:ind w:left="567" w:hanging="567"/>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ab/>
        <w:t xml:space="preserve">(a)</w:t>
      </w:r>
      <w:r w:rsidDel="00000000" w:rsidR="00000000" w:rsidRPr="00000000">
        <w:rPr>
          <w:rFonts w:ascii="Times New Roman" w:cs="Times New Roman" w:eastAsia="Times New Roman" w:hAnsi="Times New Roman"/>
          <w:sz w:val="22"/>
          <w:szCs w:val="22"/>
          <w:highlight w:val="white"/>
          <w:rtl w:val="0"/>
        </w:rPr>
        <w:t xml:space="preserve"> either by post or by courier service, in which case the evidence shall be constituted by the postmark or the date of the deposit slip</w:t>
      </w:r>
      <w:r w:rsidDel="00000000" w:rsidR="00000000" w:rsidRPr="00000000">
        <w:rPr>
          <w:rFonts w:ascii="Times New Roman" w:cs="Times New Roman" w:eastAsia="Times New Roman" w:hAnsi="Times New Roman"/>
          <w:sz w:val="22"/>
          <w:szCs w:val="22"/>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44">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(b) or by hand-delivery to the premises of the contracting authority by the participant in person or by an agent, in which case the evidence shall be constituted by the acknowledgment of receipt. </w:t>
      </w:r>
    </w:p>
    <w:p w:rsidR="00000000" w:rsidDel="00000000" w:rsidP="00000000" w:rsidRDefault="00000000" w:rsidRPr="00000000" w14:paraId="00000045">
      <w:pPr>
        <w:pStyle w:val="Heading2"/>
        <w:ind w:left="630" w:hanging="90"/>
        <w:jc w:val="both"/>
        <w:rPr/>
      </w:pPr>
      <w:bookmarkStart w:colFirst="0" w:colLast="0" w:name="_heading=h.xcirfa4ozgv0" w:id="18"/>
      <w:bookmarkEnd w:id="18"/>
      <w:r w:rsidDel="00000000" w:rsidR="00000000" w:rsidRPr="00000000">
        <w:rPr>
          <w:rFonts w:ascii="Times New Roman" w:cs="Times New Roman" w:eastAsia="Times New Roman" w:hAnsi="Times New Roman"/>
          <w:sz w:val="22"/>
          <w:szCs w:val="22"/>
          <w:rtl w:val="0"/>
        </w:rPr>
        <w:t xml:space="preserve">(c) electronically, by e-mail, sent to the following e-mail address: </w:t>
      </w:r>
      <w:hyperlink r:id="rId10">
        <w:r w:rsidDel="00000000" w:rsidR="00000000" w:rsidRPr="00000000">
          <w:rPr>
            <w:rFonts w:ascii="Times New Roman" w:cs="Times New Roman" w:eastAsia="Times New Roman" w:hAnsi="Times New Roman"/>
            <w:color w:val="0000ff"/>
            <w:sz w:val="22"/>
            <w:szCs w:val="22"/>
            <w:u w:val="single"/>
            <w:rtl w:val="0"/>
          </w:rPr>
          <w:t xml:space="preserve">betul@redi-ngo.eu</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tab/>
      </w:r>
    </w:p>
    <w:p w:rsidR="00000000" w:rsidDel="00000000" w:rsidP="00000000" w:rsidRDefault="00000000" w:rsidRPr="00000000" w14:paraId="00000046">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p>
    <w:p w:rsidR="00000000" w:rsidDel="00000000" w:rsidP="00000000" w:rsidRDefault="00000000" w:rsidRPr="00000000" w14:paraId="00000047">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10.4</w:t>
        <w:tab/>
      </w:r>
      <w:r w:rsidDel="00000000" w:rsidR="00000000" w:rsidRPr="00000000">
        <w:rPr>
          <w:rFonts w:ascii="Times New Roman" w:cs="Times New Roman" w:eastAsia="Times New Roman" w:hAnsi="Times New Roman"/>
          <w:sz w:val="22"/>
          <w:szCs w:val="22"/>
          <w:highlight w:val="white"/>
          <w:rtl w:val="0"/>
        </w:rPr>
        <w:t xml:space="preserve">If sent in hardcopy, by post, courier or in person, al</w:t>
      </w:r>
      <w:r w:rsidDel="00000000" w:rsidR="00000000" w:rsidRPr="00000000">
        <w:rPr>
          <w:rFonts w:ascii="Times New Roman" w:cs="Times New Roman" w:eastAsia="Times New Roman" w:hAnsi="Times New Roman"/>
          <w:sz w:val="22"/>
          <w:szCs w:val="22"/>
          <w:rtl w:val="0"/>
        </w:rPr>
        <w:t xml:space="preserve">l tenders, including annexes and all supporting documents, must be submitted in a sealed envelope bearing only:</w:t>
      </w:r>
    </w:p>
    <w:p w:rsidR="00000000" w:rsidDel="00000000" w:rsidP="00000000" w:rsidRDefault="00000000" w:rsidRPr="00000000" w14:paraId="00000048">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tab/>
        <w:t xml:space="preserve">the above address;</w:t>
      </w:r>
    </w:p>
    <w:p w:rsidR="00000000" w:rsidDel="00000000" w:rsidP="00000000" w:rsidRDefault="00000000" w:rsidRPr="00000000" w14:paraId="00000049">
      <w:pPr>
        <w:pStyle w:val="Heading2"/>
        <w:keepNext w:val="0"/>
        <w:ind w:left="567" w:firstLine="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b)</w:t>
        <w:tab/>
        <w:t xml:space="preserve">the reference code of this tender procedure, (IPA III/2024/457-19</w:t>
      </w:r>
      <w:r w:rsidDel="00000000" w:rsidR="00000000" w:rsidRPr="00000000">
        <w:rPr>
          <w:rFonts w:ascii="Times New Roman" w:cs="Times New Roman" w:eastAsia="Times New Roman" w:hAnsi="Times New Roman"/>
          <w:sz w:val="22"/>
          <w:szCs w:val="22"/>
          <w:highlight w:val="white"/>
          <w:rtl w:val="0"/>
        </w:rPr>
        <w:t xml:space="preserve">7/TK-004);</w:t>
      </w:r>
    </w:p>
    <w:p w:rsidR="00000000" w:rsidDel="00000000" w:rsidP="00000000" w:rsidRDefault="00000000" w:rsidRPr="00000000" w14:paraId="0000004A">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tab/>
        <w:t xml:space="preserve">where applicable, the number of the lot(s) tendered for;</w:t>
      </w:r>
    </w:p>
    <w:p w:rsidR="00000000" w:rsidDel="00000000" w:rsidP="00000000" w:rsidRDefault="00000000" w:rsidRPr="00000000" w14:paraId="0000004B">
      <w:pPr>
        <w:pStyle w:val="Heading2"/>
        <w:keepNext w:val="0"/>
        <w:ind w:left="1418" w:hanging="85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tab/>
        <w:t xml:space="preserve">the words ‘Not to be opened before the tender opening session’ in the language of the tender dossier and equivalent phrase in the local language.</w:t>
      </w:r>
    </w:p>
    <w:p w:rsidR="00000000" w:rsidDel="00000000" w:rsidP="00000000" w:rsidRDefault="00000000" w:rsidRPr="00000000" w14:paraId="0000004C">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w:t>
        <w:tab/>
        <w:t xml:space="preserve">the name of the tenderer.</w:t>
      </w:r>
    </w:p>
    <w:p w:rsidR="00000000" w:rsidDel="00000000" w:rsidP="00000000" w:rsidRDefault="00000000" w:rsidRPr="00000000" w14:paraId="0000004D">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and financial offers must be placed together in a sealed envelope. The envelope should then be placed in another single sealed envelope/package, unless their volume requires a separate submission for each lot.</w:t>
      </w:r>
    </w:p>
    <w:p w:rsidR="00000000" w:rsidDel="00000000" w:rsidP="00000000" w:rsidRDefault="00000000" w:rsidRPr="00000000" w14:paraId="0000004E">
      <w:pPr>
        <w:pStyle w:val="Heading1"/>
        <w:rPr/>
      </w:pPr>
      <w:bookmarkStart w:colFirst="0" w:colLast="0" w:name="_heading=h.44sinio" w:id="19"/>
      <w:bookmarkEnd w:id="19"/>
      <w:r w:rsidDel="00000000" w:rsidR="00000000" w:rsidRPr="00000000">
        <w:rPr>
          <w:rtl w:val="0"/>
        </w:rPr>
        <w:t xml:space="preserve">11. Content of tenders</w:t>
      </w:r>
    </w:p>
    <w:p w:rsidR="00000000" w:rsidDel="00000000" w:rsidP="00000000" w:rsidRDefault="00000000" w:rsidRPr="00000000" w14:paraId="0000004F">
      <w:pPr>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The tender must include a technical offer and a financial </w:t>
      </w:r>
      <w:r w:rsidDel="00000000" w:rsidR="00000000" w:rsidRPr="00000000">
        <w:rPr>
          <w:rFonts w:ascii="Times New Roman" w:cs="Times New Roman" w:eastAsia="Times New Roman" w:hAnsi="Times New Roman"/>
          <w:sz w:val="22"/>
          <w:szCs w:val="22"/>
          <w:highlight w:val="white"/>
          <w:rtl w:val="0"/>
        </w:rPr>
        <w:t xml:space="preserve">offer, which in case of submission by post, courier or hand-delivery, must be submitted in separate envelopes. </w:t>
      </w:r>
    </w:p>
    <w:p w:rsidR="00000000" w:rsidDel="00000000" w:rsidP="00000000" w:rsidRDefault="00000000" w:rsidRPr="00000000" w14:paraId="00000050">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Failure to fulfil the below requirements will constitute an irregularity and may result in rejection of the tender. All tenders submitted must comply with the requirements in the tender dossier and comprise:</w:t>
      </w:r>
    </w:p>
    <w:p w:rsidR="00000000" w:rsidDel="00000000" w:rsidP="00000000" w:rsidRDefault="00000000" w:rsidRPr="00000000" w14:paraId="00000051">
      <w:pPr>
        <w:ind w:left="567"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keepNext w:val="1"/>
        <w:keepLines w:val="1"/>
        <w:ind w:left="567"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Part 1: Technical offer:</w:t>
      </w:r>
    </w:p>
    <w:p w:rsidR="00000000" w:rsidDel="00000000" w:rsidP="00000000" w:rsidRDefault="00000000" w:rsidRPr="00000000" w14:paraId="00000053">
      <w:pPr>
        <w:pStyle w:val="Heading2"/>
        <w:keepLines w:val="1"/>
        <w:numPr>
          <w:ilvl w:val="0"/>
          <w:numId w:val="1"/>
        </w:numPr>
        <w:spacing w:after="0" w:before="0" w:lineRule="auto"/>
        <w:ind w:left="709" w:hanging="142.00000000000003"/>
        <w:rPr>
          <w:rFonts w:ascii="Times New Roman" w:cs="Times New Roman" w:eastAsia="Times New Roman" w:hAnsi="Times New Roman"/>
          <w:sz w:val="22"/>
          <w:szCs w:val="22"/>
        </w:rPr>
      </w:pPr>
      <w:bookmarkStart w:colFirst="0" w:colLast="0" w:name="_heading=h.3tqxwe4q7r8" w:id="20"/>
      <w:bookmarkEnd w:id="20"/>
      <w:r w:rsidDel="00000000" w:rsidR="00000000" w:rsidRPr="00000000">
        <w:rPr>
          <w:rFonts w:ascii="Times New Roman" w:cs="Times New Roman" w:eastAsia="Times New Roman" w:hAnsi="Times New Roman"/>
          <w:sz w:val="22"/>
          <w:szCs w:val="22"/>
          <w:rtl w:val="0"/>
        </w:rPr>
        <w:t xml:space="preserve">A detailed description of the supplies tendered in conformity with the technical specifications, The technical offer should be presented as per template (Annex II+III)*, Contractor’s technical offer) adding separate sheets for details if necessary.</w:t>
      </w:r>
    </w:p>
    <w:p w:rsidR="00000000" w:rsidDel="00000000" w:rsidP="00000000" w:rsidRDefault="00000000" w:rsidRPr="00000000" w14:paraId="00000054">
      <w:pPr>
        <w:ind w:left="1070" w:firstLine="0"/>
        <w:rPr/>
      </w:pPr>
      <w:r w:rsidDel="00000000" w:rsidR="00000000" w:rsidRPr="00000000">
        <w:rPr>
          <w:rtl w:val="0"/>
        </w:rPr>
      </w:r>
    </w:p>
    <w:p w:rsidR="00000000" w:rsidDel="00000000" w:rsidP="00000000" w:rsidRDefault="00000000" w:rsidRPr="00000000" w14:paraId="00000055">
      <w:pPr>
        <w:ind w:left="567"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Part 2: Financial offer:</w:t>
      </w:r>
    </w:p>
    <w:p w:rsidR="00000000" w:rsidDel="00000000" w:rsidP="00000000" w:rsidRDefault="00000000" w:rsidRPr="00000000" w14:paraId="00000056">
      <w:pPr>
        <w:pStyle w:val="Heading2"/>
        <w:keepNext w:val="0"/>
        <w:numPr>
          <w:ilvl w:val="0"/>
          <w:numId w:val="4"/>
        </w:numPr>
        <w:spacing w:after="0" w:before="0" w:lineRule="auto"/>
        <w:ind w:left="709" w:hanging="142.0000000000000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financial offer calculated on a DDP</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Fonts w:ascii="Times New Roman" w:cs="Times New Roman" w:eastAsia="Times New Roman" w:hAnsi="Times New Roman"/>
          <w:sz w:val="22"/>
          <w:szCs w:val="22"/>
          <w:rtl w:val="0"/>
        </w:rPr>
        <w:t xml:space="preserve"> basis for the supplies tendered</w:t>
      </w:r>
    </w:p>
    <w:p w:rsidR="00000000" w:rsidDel="00000000" w:rsidP="00000000" w:rsidRDefault="00000000" w:rsidRPr="00000000" w14:paraId="00000057">
      <w:pPr>
        <w:spacing w:after="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8">
      <w:pPr>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financial offer should be presented as per template (Annex IV*, Budget breakdown), adding separate sheets for details if necessary.</w:t>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between w:space="0" w:sz="0" w:val="nil"/>
        </w:pBdr>
        <w:ind w:left="850" w:firstLine="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case of doubt about the applicable VAT system, it is the tenderer's responsibility to contact his or her national authorities to clarify the way in which the European Union is exempt from VAT.</w:t>
      </w:r>
      <w:r w:rsidDel="00000000" w:rsidR="00000000" w:rsidRPr="00000000">
        <w:rPr>
          <w:rtl w:val="0"/>
        </w:rPr>
      </w:r>
    </w:p>
    <w:p w:rsidR="00000000" w:rsidDel="00000000" w:rsidP="00000000" w:rsidRDefault="00000000" w:rsidRPr="00000000" w14:paraId="0000005A">
      <w:pPr>
        <w:spacing w:after="0" w:before="0" w:lineRule="auto"/>
        <w:ind w:left="56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Part 3: Documentation:</w:t>
      </w:r>
    </w:p>
    <w:p w:rsidR="00000000" w:rsidDel="00000000" w:rsidP="00000000" w:rsidRDefault="00000000" w:rsidRPr="00000000" w14:paraId="0000005C">
      <w:pPr>
        <w:keepNext w:val="1"/>
        <w:keepLines w:val="1"/>
        <w:tabs>
          <w:tab w:val="left" w:leader="none" w:pos="993"/>
        </w:tabs>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supplied using the templates attached*:</w:t>
      </w:r>
    </w:p>
    <w:p w:rsidR="00000000" w:rsidDel="00000000" w:rsidP="00000000" w:rsidRDefault="00000000" w:rsidRPr="00000000" w14:paraId="0000005D">
      <w:pPr>
        <w:numPr>
          <w:ilvl w:val="0"/>
          <w:numId w:val="4"/>
        </w:numPr>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form for a supply contract", together with Annex 1 </w:t>
      </w:r>
      <w:r w:rsidDel="00000000" w:rsidR="00000000" w:rsidRPr="00000000">
        <w:rPr>
          <w:rFonts w:ascii="Times New Roman" w:cs="Times New Roman" w:eastAsia="Times New Roman" w:hAnsi="Times New Roman"/>
          <w:b w:val="1"/>
          <w:sz w:val="22"/>
          <w:szCs w:val="22"/>
          <w:rtl w:val="0"/>
        </w:rPr>
        <w:t xml:space="preserve">"Declaration on honour on exclusion criteria and selection criteria"</w:t>
      </w:r>
      <w:r w:rsidDel="00000000" w:rsidR="00000000" w:rsidRPr="00000000">
        <w:rPr>
          <w:rFonts w:ascii="Times New Roman" w:cs="Times New Roman" w:eastAsia="Times New Roman" w:hAnsi="Times New Roman"/>
          <w:sz w:val="22"/>
          <w:szCs w:val="22"/>
          <w:rtl w:val="0"/>
        </w:rPr>
        <w:t xml:space="preserve">, both duly completed, which includes the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tenderer’s declaration, point 7, (from each member if a consortium, and capacity-providing entities or subcontractors (if any). Signed originals of the Declaration on honour shall be submitted. In the case of the e-mail submission, the original copy of the Declaration on honour on exclusion criteria and selection criteria will be collected at the contracting phase.</w:t>
      </w:r>
    </w:p>
    <w:p w:rsidR="00000000" w:rsidDel="00000000" w:rsidP="00000000" w:rsidRDefault="00000000" w:rsidRPr="00000000" w14:paraId="0000005E">
      <w:pPr>
        <w:numPr>
          <w:ilvl w:val="0"/>
          <w:numId w:val="4"/>
        </w:numPr>
        <w:spacing w:after="240" w:before="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details of the bank account into which payments should be made (financial identification form – document c4o1_fif_en)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5F">
      <w:pPr>
        <w:numPr>
          <w:ilvl w:val="0"/>
          <w:numId w:val="4"/>
        </w:numPr>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legal entity file (document c4o2_lefind_en) and the supporting documents.</w:t>
      </w:r>
    </w:p>
    <w:p w:rsidR="00000000" w:rsidDel="00000000" w:rsidP="00000000" w:rsidRDefault="00000000" w:rsidRPr="00000000" w14:paraId="00000060">
      <w:pPr>
        <w:tabs>
          <w:tab w:val="left" w:leader="none" w:pos="993"/>
        </w:tabs>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supplied in free-text format:</w:t>
      </w:r>
    </w:p>
    <w:p w:rsidR="00000000" w:rsidDel="00000000" w:rsidP="00000000" w:rsidRDefault="00000000" w:rsidRPr="00000000" w14:paraId="00000061">
      <w:pPr>
        <w:numPr>
          <w:ilvl w:val="0"/>
          <w:numId w:val="4"/>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description of the warranty conditions, which must be in accordance with the conditions laid down in Article 32 of the general conditions</w:t>
      </w:r>
      <w:r w:rsidDel="00000000" w:rsidR="00000000" w:rsidRPr="00000000">
        <w:rPr>
          <w:rFonts w:ascii="Times New Roman" w:cs="Times New Roman" w:eastAsia="Times New Roman" w:hAnsi="Times New Roman"/>
          <w:color w:val="339966"/>
          <w:sz w:val="22"/>
          <w:szCs w:val="22"/>
          <w:u w:val="single"/>
          <w:rtl w:val="0"/>
        </w:rPr>
        <w:t xml:space="preserve">.</w:t>
      </w:r>
      <w:r w:rsidDel="00000000" w:rsidR="00000000" w:rsidRPr="00000000">
        <w:rPr>
          <w:rtl w:val="0"/>
        </w:rPr>
      </w:r>
    </w:p>
    <w:p w:rsidR="00000000" w:rsidDel="00000000" w:rsidP="00000000" w:rsidRDefault="00000000" w:rsidRPr="00000000" w14:paraId="00000062">
      <w:pPr>
        <w:numPr>
          <w:ilvl w:val="0"/>
          <w:numId w:val="4"/>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description of the organisation of the commercial warranty tendered in accordance with the conditions laid down in Article 32 of the special conditions,</w:t>
      </w:r>
    </w:p>
    <w:p w:rsidR="00000000" w:rsidDel="00000000" w:rsidP="00000000" w:rsidRDefault="00000000" w:rsidRPr="00000000" w14:paraId="00000063">
      <w:pPr>
        <w:numPr>
          <w:ilvl w:val="0"/>
          <w:numId w:val="4"/>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 joint venture or consortium is duly authorised to do so.</w:t>
      </w:r>
    </w:p>
    <w:p w:rsidR="00000000" w:rsidDel="00000000" w:rsidP="00000000" w:rsidRDefault="00000000" w:rsidRPr="00000000" w14:paraId="00000064">
      <w:pPr>
        <w:spacing w:after="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Remarks:</w:t>
      </w:r>
    </w:p>
    <w:p w:rsidR="00000000" w:rsidDel="00000000" w:rsidP="00000000" w:rsidRDefault="00000000" w:rsidRPr="00000000" w14:paraId="00000065">
      <w:pPr>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are requested to follow this order of presentation.</w:t>
      </w:r>
    </w:p>
    <w:p w:rsidR="00000000" w:rsidDel="00000000" w:rsidP="00000000" w:rsidRDefault="00000000" w:rsidRPr="00000000" w14:paraId="00000066">
      <w:pPr>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refers to templates attached to the tender dossier. These templates are also available on: </w:t>
      </w:r>
    </w:p>
    <w:p w:rsidR="00000000" w:rsidDel="00000000" w:rsidP="00000000" w:rsidRDefault="00000000" w:rsidRPr="00000000" w14:paraId="00000067">
      <w:pPr>
        <w:ind w:left="567" w:firstLine="0"/>
        <w:rPr>
          <w:rFonts w:ascii="Times New Roman" w:cs="Times New Roman" w:eastAsia="Times New Roman" w:hAnsi="Times New Roman"/>
          <w:sz w:val="22"/>
          <w:szCs w:val="22"/>
        </w:rPr>
      </w:pPr>
      <w:hyperlink r:id="rId11">
        <w:r w:rsidDel="00000000" w:rsidR="00000000" w:rsidRPr="00000000">
          <w:rPr>
            <w:rFonts w:ascii="Times New Roman" w:cs="Times New Roman" w:eastAsia="Times New Roman" w:hAnsi="Times New Roman"/>
            <w:color w:val="1155cc"/>
            <w:sz w:val="22"/>
            <w:szCs w:val="22"/>
            <w:u w:val="single"/>
            <w:rtl w:val="0"/>
          </w:rPr>
          <w:t xml:space="preserve">https://wikis.ec.europa.eu/spaces/ExactExternalWiki/pages/152798822/Annexes</w:t>
        </w:r>
      </w:hyperlink>
      <w:r w:rsidDel="00000000" w:rsidR="00000000" w:rsidRPr="00000000">
        <w:rPr>
          <w:rtl w:val="0"/>
        </w:rPr>
      </w:r>
    </w:p>
    <w:p w:rsidR="00000000" w:rsidDel="00000000" w:rsidP="00000000" w:rsidRDefault="00000000" w:rsidRPr="00000000" w14:paraId="00000068">
      <w:pPr>
        <w:pStyle w:val="Heading1"/>
        <w:rPr/>
      </w:pPr>
      <w:bookmarkStart w:colFirst="0" w:colLast="0" w:name="_heading=h.2jxsxqh" w:id="21"/>
      <w:bookmarkEnd w:id="21"/>
      <w:r w:rsidDel="00000000" w:rsidR="00000000" w:rsidRPr="00000000">
        <w:rPr>
          <w:rtl w:val="0"/>
        </w:rPr>
        <w:t xml:space="preserve">12. Taxes and other charges</w:t>
      </w:r>
    </w:p>
    <w:p w:rsidR="00000000" w:rsidDel="00000000" w:rsidP="00000000" w:rsidRDefault="00000000" w:rsidRPr="00000000" w14:paraId="00000069">
      <w:pPr>
        <w:pStyle w:val="Heading2"/>
        <w:ind w:left="567" w:firstLine="0"/>
        <w:jc w:val="both"/>
        <w:rPr/>
      </w:pPr>
      <w:bookmarkStart w:colFirst="0" w:colLast="0" w:name="_heading=h.jbilmthsc268" w:id="22"/>
      <w:bookmarkEnd w:id="22"/>
      <w:r w:rsidDel="00000000" w:rsidR="00000000" w:rsidRPr="00000000">
        <w:rPr>
          <w:rFonts w:ascii="Times New Roman" w:cs="Times New Roman" w:eastAsia="Times New Roman" w:hAnsi="Times New Roman"/>
          <w:sz w:val="22"/>
          <w:szCs w:val="22"/>
          <w:rtl w:val="0"/>
        </w:rPr>
        <w:t xml:space="preserve">The applicable tax and customs arrangements are the following:</w:t>
      </w:r>
      <w:r w:rsidDel="00000000" w:rsidR="00000000" w:rsidRPr="00000000">
        <w:rPr>
          <w:rtl w:val="0"/>
        </w:rPr>
      </w:r>
    </w:p>
    <w:p w:rsidR="00000000" w:rsidDel="00000000" w:rsidP="00000000" w:rsidRDefault="00000000" w:rsidRPr="00000000" w14:paraId="0000006A">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Financial Framework Partnership Agreement under the Instrument for Pre-accession Assistance (IPA III) was signed between Türkiye and the European Union (EU) on 17 October 2022 regarding the financial assistance provided by the EU to Türkiye. The Agreement was approved by Law No. 7424 and published in the Official Gazette dated 13 December 2022 and numbered 32042, as an annex to the Presidential Decision No. 6537 dated 12 December 2022.</w:t>
      </w:r>
    </w:p>
    <w:p w:rsidR="00000000" w:rsidDel="00000000" w:rsidP="00000000" w:rsidRDefault="00000000" w:rsidRPr="00000000" w14:paraId="0000006B">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procedures and principles regarding tax exemptions under the said Agreement were set out in the IPA III Financial Framework Partnership Agreement General Communiqué No. 1, which entered into force upon publication in the Official Gazette of Türkiye dated 24 April 2023 and numbered 32170.</w:t>
      </w:r>
    </w:p>
    <w:p w:rsidR="00000000" w:rsidDel="00000000" w:rsidP="00000000" w:rsidRDefault="00000000" w:rsidRPr="00000000" w14:paraId="0000006C">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Provided that the procedures and principles defined in the said Communiqué are adhered to, the submission of the attached VAT Exemption Certificate to the Suppliers, and, where necessary, the conclusion of a Procurement Contract, will ensure that the supply of goods, provision of services, or execution of works by the Suppliers under the Union Contract will be exempt from VAT, in accordance with Articles 28(2)(d) and 28(2)(e) of the aforementioned Agreement.</w:t>
      </w:r>
    </w:p>
    <w:p w:rsidR="00000000" w:rsidDel="00000000" w:rsidP="00000000" w:rsidRDefault="00000000" w:rsidRPr="00000000" w14:paraId="0000006D">
      <w:pPr>
        <w:pStyle w:val="Heading1"/>
        <w:rPr/>
      </w:pPr>
      <w:bookmarkStart w:colFirst="0" w:colLast="0" w:name="_heading=h.z337ya" w:id="23"/>
      <w:bookmarkEnd w:id="23"/>
      <w:r w:rsidDel="00000000" w:rsidR="00000000" w:rsidRPr="00000000">
        <w:rPr>
          <w:rtl w:val="0"/>
        </w:rPr>
        <w:t xml:space="preserve">13. Additional information before the deadline for submission of tenders</w:t>
      </w:r>
    </w:p>
    <w:p w:rsidR="00000000" w:rsidDel="00000000" w:rsidP="00000000" w:rsidRDefault="00000000" w:rsidRPr="00000000" w14:paraId="0000006E">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dossier should be clear enough so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rsidR="00000000" w:rsidDel="00000000" w:rsidP="00000000" w:rsidRDefault="00000000" w:rsidRPr="00000000" w14:paraId="0000006F">
      <w:pPr>
        <w:keepNext w:val="1"/>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may submit questions in writing to the following address in accordance with the proposed timetable for submission of tenders, specifying the publication reference and the contract title:</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240" w:lineRule="auto"/>
        <w:ind w:left="567" w:firstLine="0"/>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Con</w:t>
      </w:r>
      <w:r w:rsidDel="00000000" w:rsidR="00000000" w:rsidRPr="00000000">
        <w:rPr>
          <w:rFonts w:ascii="Times New Roman" w:cs="Times New Roman" w:eastAsia="Times New Roman" w:hAnsi="Times New Roman"/>
          <w:sz w:val="22"/>
          <w:szCs w:val="22"/>
          <w:highlight w:val="white"/>
          <w:rtl w:val="0"/>
        </w:rPr>
        <w:t xml:space="preserve">tact name Betül Güvender</w:t>
        <w:br w:type="textWrapping"/>
        <w:t xml:space="preserve">Address Bahçelievler, 1851/10. Sokak No:3, 35600 Karsiyaka Izmir</w:t>
      </w:r>
      <w:r w:rsidDel="00000000" w:rsidR="00000000" w:rsidRPr="00000000">
        <w:rPr>
          <w:rFonts w:ascii="Times New Roman" w:cs="Times New Roman" w:eastAsia="Times New Roman" w:hAnsi="Times New Roman"/>
          <w:color w:val="000000"/>
          <w:sz w:val="22"/>
          <w:szCs w:val="22"/>
          <w:highlight w:val="white"/>
          <w:rtl w:val="0"/>
        </w:rPr>
        <w:br w:type="textWrapping"/>
        <w:t xml:space="preserve">Fax No: n/a</w:t>
        <w:br w:type="textWrapping"/>
        <w:t xml:space="preserve">E-mail: betul@redi-ngo.eu</w:t>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clarification of the tender dossier will be communicated simultaneously in writing to all tenderers at the latest 8 days before the deadline for submitting tenders.</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prospective tenderers seeking to arrange individual meetings with either the contracting authority and/or the European Commission during the tender period may be excluded from the tender procedure.</w:t>
      </w:r>
    </w:p>
    <w:p w:rsidR="00000000" w:rsidDel="00000000" w:rsidP="00000000" w:rsidRDefault="00000000" w:rsidRPr="00000000" w14:paraId="00000073">
      <w:pPr>
        <w:pStyle w:val="Heading1"/>
        <w:rPr/>
      </w:pPr>
      <w:bookmarkStart w:colFirst="0" w:colLast="0" w:name="_heading=h.3j2qqm3" w:id="24"/>
      <w:bookmarkEnd w:id="24"/>
      <w:r w:rsidDel="00000000" w:rsidR="00000000" w:rsidRPr="00000000">
        <w:rPr>
          <w:rtl w:val="0"/>
        </w:rPr>
        <w:t xml:space="preserve">14. Clarification meeting / site visit</w:t>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567" w:hanging="567"/>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14.1</w:t>
        <w:tab/>
        <w:t xml:space="preserve">No clarification meeting / site visit planned. Visits by individual prospective tenderers during the tender period cannot be organised.</w:t>
      </w:r>
    </w:p>
    <w:p w:rsidR="00000000" w:rsidDel="00000000" w:rsidP="00000000" w:rsidRDefault="00000000" w:rsidRPr="00000000" w14:paraId="00000075">
      <w:pPr>
        <w:pStyle w:val="Heading1"/>
        <w:rPr/>
      </w:pPr>
      <w:bookmarkStart w:colFirst="0" w:colLast="0" w:name="_heading=h.1y810tw" w:id="25"/>
      <w:bookmarkEnd w:id="25"/>
      <w:r w:rsidDel="00000000" w:rsidR="00000000" w:rsidRPr="00000000">
        <w:rPr>
          <w:rtl w:val="0"/>
        </w:rPr>
        <w:t xml:space="preserve">15. Alteration or withdrawal of tenders</w:t>
      </w:r>
    </w:p>
    <w:p w:rsidR="00000000" w:rsidDel="00000000" w:rsidP="00000000" w:rsidRDefault="00000000" w:rsidRPr="00000000" w14:paraId="00000076">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15.1</w:t>
        <w:tab/>
        <w:t xml:space="preserve">Tenderers may alter or withdraw their tenders by written notification prior to the deadline for submission of tenders. No tender may be altered after this deadline. Withdrawals must be unconditional and will end all participation in the tender procedure. </w:t>
        <w:tab/>
      </w:r>
    </w:p>
    <w:p w:rsidR="00000000" w:rsidDel="00000000" w:rsidP="00000000" w:rsidRDefault="00000000" w:rsidRPr="00000000" w14:paraId="00000077">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Any such notification of alteration or withdrawal must be prepared and submitted in accordance with Section 10. The outer envelope must be marked ‘Alteration’ or ‘Withdrawal’ as appropriate.</w:t>
      </w:r>
    </w:p>
    <w:p w:rsidR="00000000" w:rsidDel="00000000" w:rsidP="00000000" w:rsidRDefault="00000000" w:rsidRPr="00000000" w14:paraId="00000078">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15.2</w:t>
        <w:tab/>
        <w:t xml:space="preserve">No tender may be withdrawn in the interval between the deadline for submission of tenders and the expiry of the tender validity period.</w:t>
      </w:r>
      <w:r w:rsidDel="00000000" w:rsidR="00000000" w:rsidRPr="00000000">
        <w:rPr>
          <w:rtl w:val="0"/>
        </w:rPr>
      </w:r>
    </w:p>
    <w:p w:rsidR="00000000" w:rsidDel="00000000" w:rsidP="00000000" w:rsidRDefault="00000000" w:rsidRPr="00000000" w14:paraId="00000079">
      <w:pPr>
        <w:pStyle w:val="Heading1"/>
        <w:rPr/>
      </w:pPr>
      <w:bookmarkStart w:colFirst="0" w:colLast="0" w:name="_heading=h.4i7ojhp" w:id="26"/>
      <w:bookmarkEnd w:id="26"/>
      <w:r w:rsidDel="00000000" w:rsidR="00000000" w:rsidRPr="00000000">
        <w:rPr>
          <w:rtl w:val="0"/>
        </w:rPr>
        <w:t xml:space="preserve">16. Costs of preparing tenders</w:t>
      </w:r>
    </w:p>
    <w:p w:rsidR="00000000" w:rsidDel="00000000" w:rsidP="00000000" w:rsidRDefault="00000000" w:rsidRPr="00000000" w14:paraId="0000007A">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costs incurred by the tenderer in preparing and submitting the tender are reimbursable. All such costs will be borne by the tenderer.</w:t>
      </w:r>
    </w:p>
    <w:p w:rsidR="00000000" w:rsidDel="00000000" w:rsidP="00000000" w:rsidRDefault="00000000" w:rsidRPr="00000000" w14:paraId="0000007B">
      <w:pPr>
        <w:pStyle w:val="Heading1"/>
        <w:rPr/>
      </w:pPr>
      <w:bookmarkStart w:colFirst="0" w:colLast="0" w:name="_heading=h.2xcytpi" w:id="27"/>
      <w:bookmarkEnd w:id="27"/>
      <w:r w:rsidDel="00000000" w:rsidR="00000000" w:rsidRPr="00000000">
        <w:rPr>
          <w:rtl w:val="0"/>
        </w:rPr>
        <w:t xml:space="preserve">17. Ownership of tenders</w:t>
      </w:r>
    </w:p>
    <w:p w:rsidR="00000000" w:rsidDel="00000000" w:rsidP="00000000" w:rsidRDefault="00000000" w:rsidRPr="00000000" w14:paraId="0000007C">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retains ownership of all tenders received under this tender procedure. Consequently, tenderers have no right to have their tenders returned to them.</w:t>
      </w:r>
    </w:p>
    <w:p w:rsidR="00000000" w:rsidDel="00000000" w:rsidP="00000000" w:rsidRDefault="00000000" w:rsidRPr="00000000" w14:paraId="0000007D">
      <w:pPr>
        <w:pStyle w:val="Heading1"/>
        <w:rPr/>
      </w:pPr>
      <w:bookmarkStart w:colFirst="0" w:colLast="0" w:name="_heading=h.1ci93xb" w:id="28"/>
      <w:bookmarkEnd w:id="28"/>
      <w:r w:rsidDel="00000000" w:rsidR="00000000" w:rsidRPr="00000000">
        <w:rPr>
          <w:rtl w:val="0"/>
        </w:rPr>
        <w:t xml:space="preserve">18. Joint venture or consortium</w:t>
      </w:r>
    </w:p>
    <w:p w:rsidR="00000000" w:rsidDel="00000000" w:rsidP="00000000" w:rsidRDefault="00000000" w:rsidRPr="00000000" w14:paraId="0000007E">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18.1</w:t>
        <w:tab/>
        <w:t xml:space="preserve">If a tenderer is a joint venture or consortium of two or more persons, the tender must be a single one 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written consent of the contracting authority.</w:t>
      </w:r>
      <w:r w:rsidDel="00000000" w:rsidR="00000000" w:rsidRPr="00000000">
        <w:rPr>
          <w:rtl w:val="0"/>
        </w:rPr>
      </w:r>
    </w:p>
    <w:p w:rsidR="00000000" w:rsidDel="00000000" w:rsidP="00000000" w:rsidRDefault="00000000" w:rsidRPr="00000000" w14:paraId="0000007F">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18.2</w:t>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point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r w:rsidDel="00000000" w:rsidR="00000000" w:rsidRPr="00000000">
        <w:rPr>
          <w:rtl w:val="0"/>
        </w:rPr>
      </w:r>
    </w:p>
    <w:p w:rsidR="00000000" w:rsidDel="00000000" w:rsidP="00000000" w:rsidRDefault="00000000" w:rsidRPr="00000000" w14:paraId="00000080">
      <w:pPr>
        <w:pStyle w:val="Heading1"/>
        <w:rPr/>
      </w:pPr>
      <w:bookmarkStart w:colFirst="0" w:colLast="0" w:name="_heading=h.3whwml4" w:id="29"/>
      <w:bookmarkEnd w:id="29"/>
      <w:r w:rsidDel="00000000" w:rsidR="00000000" w:rsidRPr="00000000">
        <w:rPr>
          <w:rtl w:val="0"/>
        </w:rPr>
        <w:t xml:space="preserve">19. Opening of tenders</w:t>
      </w:r>
    </w:p>
    <w:p w:rsidR="00000000" w:rsidDel="00000000" w:rsidP="00000000" w:rsidRDefault="00000000" w:rsidRPr="00000000" w14:paraId="00000081">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19.1</w:t>
        <w:tab/>
        <w:t xml:space="preserve">The purpose of the opening session is to check whether the tenders have been submitted in accordance with the submission requirements of the call for tenders.</w:t>
      </w:r>
    </w:p>
    <w:p w:rsidR="00000000" w:rsidDel="00000000" w:rsidP="00000000" w:rsidRDefault="00000000" w:rsidRPr="00000000" w14:paraId="00000082">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19.5</w:t>
        <w:tab/>
        <w:t xml:space="preserve">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rsidR="00000000" w:rsidDel="00000000" w:rsidP="00000000" w:rsidRDefault="00000000" w:rsidRPr="00000000" w14:paraId="00000083">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19.6</w:t>
        <w:tab/>
        <w:t xml:space="preserve">All tenders received after the deadline for submission specified in the contract notice or these instructions will be kept by the contracting authority. The associated guarantees will be returned to the tenderers. No liability can be accepted for late delivery of tenders. Late tenders will be rejected and will not be evaluated.</w:t>
      </w:r>
      <w:r w:rsidDel="00000000" w:rsidR="00000000" w:rsidRPr="00000000">
        <w:rPr>
          <w:rtl w:val="0"/>
        </w:rPr>
      </w:r>
    </w:p>
    <w:p w:rsidR="00000000" w:rsidDel="00000000" w:rsidP="00000000" w:rsidRDefault="00000000" w:rsidRPr="00000000" w14:paraId="00000084">
      <w:pPr>
        <w:pStyle w:val="Heading1"/>
        <w:rPr/>
      </w:pPr>
      <w:bookmarkStart w:colFirst="0" w:colLast="0" w:name="_heading=h.2bn6wsx" w:id="30"/>
      <w:bookmarkEnd w:id="30"/>
      <w:r w:rsidDel="00000000" w:rsidR="00000000" w:rsidRPr="00000000">
        <w:rPr>
          <w:rtl w:val="0"/>
        </w:rPr>
        <w:t xml:space="preserve">20. Evaluation of tenders</w:t>
      </w:r>
    </w:p>
    <w:p w:rsidR="00000000" w:rsidDel="00000000" w:rsidP="00000000" w:rsidRDefault="00000000" w:rsidRPr="00000000" w14:paraId="00000085">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20.1</w:t>
        <w:tab/>
        <w:t xml:space="preserve">Examination of the administrative conformity of tenders</w:t>
      </w:r>
    </w:p>
    <w:p w:rsidR="00000000" w:rsidDel="00000000" w:rsidP="00000000" w:rsidRDefault="00000000" w:rsidRPr="00000000" w14:paraId="00000086">
      <w:pPr>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r w:rsidDel="00000000" w:rsidR="00000000" w:rsidRPr="00000000">
        <w:rPr>
          <w:rtl w:val="0"/>
        </w:rPr>
      </w:r>
    </w:p>
    <w:p w:rsidR="00000000" w:rsidDel="00000000" w:rsidP="00000000" w:rsidRDefault="00000000" w:rsidRPr="00000000" w14:paraId="00000087">
      <w:pPr>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Substantial departures or restrictions are those which affect the scope, quality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r w:rsidDel="00000000" w:rsidR="00000000" w:rsidRPr="00000000">
        <w:rPr>
          <w:rtl w:val="0"/>
        </w:rPr>
      </w:r>
    </w:p>
    <w:p w:rsidR="00000000" w:rsidDel="00000000" w:rsidP="00000000" w:rsidRDefault="00000000" w:rsidRPr="00000000" w14:paraId="00000088">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a tender does not comply with the tender dossier, it will be rejected immediately and may not subsequently be made to comply by correcting it or withdrawing the departure or restriction.</w:t>
      </w:r>
    </w:p>
    <w:p w:rsidR="00000000" w:rsidDel="00000000" w:rsidP="00000000" w:rsidRDefault="00000000" w:rsidRPr="00000000" w14:paraId="00000089">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w:t>
        <w:tab/>
        <w:t xml:space="preserve">Technical evaluation</w:t>
      </w:r>
    </w:p>
    <w:p w:rsidR="00000000" w:rsidDel="00000000" w:rsidP="00000000" w:rsidRDefault="00000000" w:rsidRPr="00000000" w14:paraId="0000008A">
      <w:pPr>
        <w:spacing w:before="0" w:lineRule="auto"/>
        <w:ind w:left="567" w:firstLine="0"/>
        <w:jc w:val="both"/>
        <w:rPr>
          <w:rFonts w:ascii="Times New Roman" w:cs="Times New Roman" w:eastAsia="Times New Roman" w:hAnsi="Times New Roman"/>
          <w:sz w:val="22"/>
          <w:szCs w:val="22"/>
        </w:rPr>
      </w:pPr>
      <w:bookmarkStart w:colFirst="0" w:colLast="0" w:name="_heading=h.qsh70q" w:id="31"/>
      <w:bookmarkEnd w:id="31"/>
      <w:r w:rsidDel="00000000" w:rsidR="00000000" w:rsidRPr="00000000">
        <w:rPr>
          <w:rFonts w:ascii="Times New Roman" w:cs="Times New Roman" w:eastAsia="Times New Roman" w:hAnsi="Times New Roman"/>
          <w:sz w:val="22"/>
          <w:szCs w:val="22"/>
          <w:rtl w:val="0"/>
        </w:rPr>
        <w:t xml:space="preserve">After analysing the tenders deemed to comply in administrative terms, the evaluation committee will rule on the technical admissibility of each tender, classifying it as technically compliant or non-compliant.</w:t>
      </w:r>
    </w:p>
    <w:p w:rsidR="00000000" w:rsidDel="00000000" w:rsidP="00000000" w:rsidRDefault="00000000" w:rsidRPr="00000000" w14:paraId="0000008B">
      <w:pPr>
        <w:pStyle w:val="Heading2"/>
        <w:keepNext w:val="0"/>
        <w:spacing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minimum qualifications required (see selection criteria in the additional information about the contract notice) are to be evaluated at the start of this stage.</w:t>
      </w:r>
    </w:p>
    <w:p w:rsidR="00000000" w:rsidDel="00000000" w:rsidP="00000000" w:rsidRDefault="00000000" w:rsidRPr="00000000" w14:paraId="0000008C">
      <w:pPr>
        <w:spacing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Where contracts include after-sales service and/or training, the technical quality of such services will also be evaluated by using yes/no criteria as specified in the tender dossier.</w:t>
      </w:r>
    </w:p>
    <w:p w:rsidR="00000000" w:rsidDel="00000000" w:rsidP="00000000" w:rsidRDefault="00000000" w:rsidRPr="00000000" w14:paraId="0000008D">
      <w:pPr>
        <w:pStyle w:val="Heading2"/>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20.3</w:t>
        <w:tab/>
        <w:t xml:space="preserve">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r w:rsidDel="00000000" w:rsidR="00000000" w:rsidRPr="00000000">
        <w:rPr>
          <w:rtl w:val="0"/>
        </w:rPr>
      </w:r>
    </w:p>
    <w:p w:rsidR="00000000" w:rsidDel="00000000" w:rsidP="00000000" w:rsidRDefault="00000000" w:rsidRPr="00000000" w14:paraId="0000008E">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20.4</w:t>
        <w:tab/>
        <w:t xml:space="preserve">Financial evaluation</w:t>
      </w:r>
    </w:p>
    <w:p w:rsidR="00000000" w:rsidDel="00000000" w:rsidP="00000000" w:rsidRDefault="00000000" w:rsidRPr="00000000" w14:paraId="0000008F">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tab/>
        <w:t xml:space="preserve">Tenders found to be technically compliant will be checked for any arithmetical errors in computation and summation. Errors will be corrected by the evaluation committee as follows:</w:t>
      </w:r>
    </w:p>
    <w:p w:rsidR="00000000" w:rsidDel="00000000" w:rsidP="00000000" w:rsidRDefault="00000000" w:rsidRPr="00000000" w14:paraId="00000090">
      <w:pPr>
        <w:tabs>
          <w:tab w:val="left" w:leader="none" w:pos="1418"/>
        </w:tabs>
        <w:spacing w:after="0" w:lineRule="auto"/>
        <w:ind w:left="1418" w:hanging="284.0000000000000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where there is a discrepancy between amounts in figures and in words, the amount in words will be the amount taken into account;</w:t>
      </w:r>
    </w:p>
    <w:p w:rsidR="00000000" w:rsidDel="00000000" w:rsidP="00000000" w:rsidRDefault="00000000" w:rsidRPr="00000000" w14:paraId="00000091">
      <w:pPr>
        <w:tabs>
          <w:tab w:val="left" w:leader="none" w:pos="1418"/>
        </w:tabs>
        <w:spacing w:after="0" w:lineRule="auto"/>
        <w:ind w:left="1418" w:hanging="284.0000000000000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except for lump-sum contracts, where there is a discrepancy between a unit price and the total amount derived from the multiplication of the unit price and the quantity, the unit price as quoted will be the price taken into account.</w:t>
      </w:r>
    </w:p>
    <w:p w:rsidR="00000000" w:rsidDel="00000000" w:rsidP="00000000" w:rsidRDefault="00000000" w:rsidRPr="00000000" w14:paraId="00000092">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tab/>
        <w:t xml:space="preserve">Amounts corrected in this way will be binding on the tenderer. If the tenderer does not accept them, its tender will be rejected.</w:t>
      </w:r>
    </w:p>
    <w:p w:rsidR="00000000" w:rsidDel="00000000" w:rsidP="00000000" w:rsidRDefault="00000000" w:rsidRPr="00000000" w14:paraId="00000093">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Unless specified otherwise, the purpose of the financial evaluation process is to identify the tenderer offering the lowest price. Where specified in the technical specifications, the evaluation of tenders may take into account not only the acquisition costs but, to the extent relevant, costs borne over the life cycle of the supplies (such as for instance maintenance costs and operating costs), in line with the technical specifications. In such a case, the contracting authority will examine in detail all the information supplied by the tenderers and will formulate its judgment on the basis of the lowest total cost, including additional costs.</w:t>
      </w:r>
    </w:p>
    <w:p w:rsidR="00000000" w:rsidDel="00000000" w:rsidP="00000000" w:rsidRDefault="00000000" w:rsidRPr="00000000" w14:paraId="00000094">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20.5</w:t>
        <w:tab/>
        <w:t xml:space="preserve">Variant solutions</w:t>
      </w:r>
    </w:p>
    <w:p w:rsidR="00000000" w:rsidDel="00000000" w:rsidP="00000000" w:rsidRDefault="00000000" w:rsidRPr="00000000" w14:paraId="00000095">
      <w:pPr>
        <w:ind w:left="567" w:firstLine="0"/>
        <w:jc w:val="both"/>
        <w:rPr/>
      </w:pPr>
      <w:r w:rsidDel="00000000" w:rsidR="00000000" w:rsidRPr="00000000">
        <w:rPr>
          <w:rFonts w:ascii="Times New Roman" w:cs="Times New Roman" w:eastAsia="Times New Roman" w:hAnsi="Times New Roman"/>
          <w:sz w:val="22"/>
          <w:szCs w:val="22"/>
          <w:rtl w:val="0"/>
        </w:rPr>
        <w:t xml:space="preserve">Variant solutions will not be taken into consideration.</w:t>
      </w:r>
      <w:r w:rsidDel="00000000" w:rsidR="00000000" w:rsidRPr="00000000">
        <w:rPr>
          <w:rtl w:val="0"/>
        </w:rPr>
      </w:r>
    </w:p>
    <w:p w:rsidR="00000000" w:rsidDel="00000000" w:rsidP="00000000" w:rsidRDefault="00000000" w:rsidRPr="00000000" w14:paraId="00000096">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20.6</w:t>
        <w:tab/>
        <w:t xml:space="preserve">Award criteria</w:t>
      </w:r>
    </w:p>
    <w:p w:rsidR="00000000" w:rsidDel="00000000" w:rsidP="00000000" w:rsidRDefault="00000000" w:rsidRPr="00000000" w14:paraId="00000097">
      <w:pPr>
        <w:ind w:left="567" w:firstLine="11.0000000000000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The sole award criterion will be the price. The contract will be awarded to the lowest compliant tender.</w:t>
      </w:r>
      <w:r w:rsidDel="00000000" w:rsidR="00000000" w:rsidRPr="00000000">
        <w:rPr>
          <w:rtl w:val="0"/>
        </w:rPr>
      </w:r>
    </w:p>
    <w:p w:rsidR="00000000" w:rsidDel="00000000" w:rsidP="00000000" w:rsidRDefault="00000000" w:rsidRPr="00000000" w14:paraId="00000098">
      <w:pPr>
        <w:numPr>
          <w:ilvl w:val="1"/>
          <w:numId w:val="3"/>
        </w:num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evidence for exclusion and selection criteria</w:t>
      </w:r>
    </w:p>
    <w:p w:rsidR="00000000" w:rsidDel="00000000" w:rsidP="00000000" w:rsidRDefault="00000000" w:rsidRPr="00000000" w14:paraId="0000009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At any time during the procurement procedure and before the award of the contract, the contracting authority may request documentary evidence on compliance with the exclusion criteria and selection criteria (financial, economic, technical and professional capacity) set out in these instructions. Please note that a request for evidence in no way implies that the tenderer has been successful. </w:t>
      </w:r>
      <w:r w:rsidDel="00000000" w:rsidR="00000000" w:rsidRPr="00000000">
        <w:rPr>
          <w:rFonts w:ascii="Times New Roman" w:cs="Times New Roman" w:eastAsia="Times New Roman" w:hAnsi="Times New Roman"/>
          <w:b w:val="1"/>
          <w:sz w:val="22"/>
          <w:szCs w:val="22"/>
          <w:rtl w:val="0"/>
        </w:rPr>
        <w:t xml:space="preserve">All tenderers are invited to prepare in advance the documents related to the evidence, since they may be requested to provide such evidence within a short deadline</w:t>
      </w:r>
      <w:r w:rsidDel="00000000" w:rsidR="00000000" w:rsidRPr="00000000">
        <w:rPr>
          <w:rFonts w:ascii="Times New Roman" w:cs="Times New Roman" w:eastAsia="Times New Roman" w:hAnsi="Times New Roman"/>
          <w:sz w:val="22"/>
          <w:szCs w:val="22"/>
          <w:rtl w:val="0"/>
        </w:rPr>
        <w:t xml:space="preserve">. In any event, the tenderer proposed by the evaluation committee for the award of the contract, will be requested to provide such evidence at short notice. </w:t>
      </w: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2.6.10.1. of the practical guide. </w:t>
      </w:r>
    </w:p>
    <w:p w:rsidR="00000000" w:rsidDel="00000000" w:rsidP="00000000" w:rsidRDefault="00000000" w:rsidRPr="00000000" w14:paraId="0000009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evidence, documents or statements must be dated, no more than one year before the date of submission of the tender. </w:t>
      </w:r>
    </w:p>
    <w:p w:rsidR="00000000" w:rsidDel="00000000" w:rsidP="00000000" w:rsidRDefault="00000000" w:rsidRPr="00000000" w14:paraId="0000009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above-mentioned documents must be submitted for every member of a joint venture/consortium, all subcontractors and every capacity providing entity. </w:t>
      </w:r>
    </w:p>
    <w:p w:rsidR="00000000" w:rsidDel="00000000" w:rsidP="00000000" w:rsidRDefault="00000000" w:rsidRPr="00000000" w14:paraId="0000009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rsidR="00000000" w:rsidDel="00000000" w:rsidP="00000000" w:rsidRDefault="00000000" w:rsidRPr="00000000" w14:paraId="0000009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w:t>
      </w:r>
    </w:p>
    <w:p w:rsidR="00000000" w:rsidDel="00000000" w:rsidP="00000000" w:rsidRDefault="00000000" w:rsidRPr="00000000" w14:paraId="0000009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rsidR="00000000" w:rsidDel="00000000" w:rsidP="00000000" w:rsidRDefault="00000000" w:rsidRPr="00000000" w14:paraId="000000A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successful tenderer fails to provide this documentary proof or statement or if the successful tenderer is found to have provided false information, the award will be considered null and void. In this case, the contracting authority may award the tender to the next lowest tenderer or cancel the tender procedure.</w:t>
      </w:r>
    </w:p>
    <w:p w:rsidR="00000000" w:rsidDel="00000000" w:rsidP="00000000" w:rsidRDefault="00000000" w:rsidRPr="00000000" w14:paraId="000000A1">
      <w:pPr>
        <w:spacing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w:t>
        <w:tab/>
        <w:t xml:space="preserve">Notification of award</w:t>
      </w:r>
    </w:p>
    <w:p w:rsidR="00000000" w:rsidDel="00000000" w:rsidP="00000000" w:rsidRDefault="00000000" w:rsidRPr="00000000" w14:paraId="000000A2">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000000" w:rsidDel="00000000" w:rsidP="00000000" w:rsidRDefault="00000000" w:rsidRPr="00000000" w14:paraId="000000A3">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will inform all tenderers simultaneously and individually of the award decision. The tender guarantees of the unsuccessful tenderers will be released once the contract is signed. The successful tenderer will be informed in writing that its tender has been accepted (notification of award).</w:t>
      </w:r>
    </w:p>
    <w:p w:rsidR="00000000" w:rsidDel="00000000" w:rsidP="00000000" w:rsidRDefault="00000000" w:rsidRPr="00000000" w14:paraId="000000A4">
      <w:pPr>
        <w:pStyle w:val="Heading1"/>
        <w:rPr/>
      </w:pPr>
      <w:bookmarkStart w:colFirst="0" w:colLast="0" w:name="_heading=h.3as4poj" w:id="32"/>
      <w:bookmarkEnd w:id="32"/>
      <w:r w:rsidDel="00000000" w:rsidR="00000000" w:rsidRPr="00000000">
        <w:rPr>
          <w:rtl w:val="0"/>
        </w:rPr>
        <w:t xml:space="preserve">22.</w:t>
        <w:tab/>
        <w:t xml:space="preserve">Signature of the contract and performance guarantee</w:t>
      </w:r>
    </w:p>
    <w:p w:rsidR="00000000" w:rsidDel="00000000" w:rsidP="00000000" w:rsidRDefault="00000000" w:rsidRPr="00000000" w14:paraId="000000A5">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r w:rsidDel="00000000" w:rsidR="00000000" w:rsidRPr="00000000">
        <w:rPr>
          <w:rFonts w:ascii="Times New Roman" w:cs="Times New Roman" w:eastAsia="Times New Roman" w:hAnsi="Times New Roman"/>
          <w:rtl w:val="0"/>
        </w:rPr>
        <w:t xml:space="preserve">1</w:t>
        <w:tab/>
      </w:r>
      <w:r w:rsidDel="00000000" w:rsidR="00000000" w:rsidRPr="00000000">
        <w:rPr>
          <w:rFonts w:ascii="Times New Roman" w:cs="Times New Roman" w:eastAsia="Times New Roman" w:hAnsi="Times New Roman"/>
          <w:sz w:val="22"/>
          <w:szCs w:val="22"/>
          <w:rtl w:val="0"/>
        </w:rPr>
        <w:t xml:space="preserve">The contracting authority reserves the right to vary quantities specified in the tender by +/- 100 % at the time of contracting and during the validity of the contract. The total value of the supplies may not, as a result of the variation rise or fall by more than 25 % of the original financial offer in the tender. The unit prices quoted in the tender shall be used. </w:t>
      </w:r>
    </w:p>
    <w:p w:rsidR="00000000" w:rsidDel="00000000" w:rsidP="00000000" w:rsidRDefault="00000000" w:rsidRPr="00000000" w14:paraId="000000A6">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22.2</w:t>
        <w:tab/>
        <w:t xml:space="preserve">Within 30 days of receipt of the contract signed by the contracting authority, the selected tenderer must sign and date the contract and return it, with the performance guarantee (if applicable), to the contracting authority. On signing the contract, the successful tenderer will become the contractor and the contract will enter into force.</w:t>
      </w:r>
      <w:r w:rsidDel="00000000" w:rsidR="00000000" w:rsidRPr="00000000">
        <w:rPr>
          <w:rtl w:val="0"/>
        </w:rPr>
      </w:r>
    </w:p>
    <w:p w:rsidR="00000000" w:rsidDel="00000000" w:rsidP="00000000" w:rsidRDefault="00000000" w:rsidRPr="00000000" w14:paraId="000000A7">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22.3</w:t>
        <w:tab/>
        <w:t xml:space="preserve">If it fails to sign and return the contract and any financial guarantee required within 30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rsidR="00000000" w:rsidDel="00000000" w:rsidP="00000000" w:rsidRDefault="00000000" w:rsidRPr="00000000" w14:paraId="000000A8">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22.4</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2"/>
          <w:szCs w:val="22"/>
          <w:rtl w:val="0"/>
        </w:rPr>
        <w:t xml:space="preserve">The performance guarantee referred to in the general conditions is set at 0% of the amount of the contract. The performance guarantee must be presented in the form specified in the annex to the tender dossier. It will be released within 60 days of the issue of the final acceptance certificate by the contracting authority, except for the proportion assigned to after-sales service. For contracts of EUR 150 000 or below, on the basis of objective criteria such as the type and value of the contract, the contracting authority may decide not to require such a guarantee.</w:t>
      </w:r>
    </w:p>
    <w:p w:rsidR="00000000" w:rsidDel="00000000" w:rsidP="00000000" w:rsidRDefault="00000000" w:rsidRPr="00000000" w14:paraId="000000A9">
      <w:pPr>
        <w:pStyle w:val="Heading1"/>
        <w:rPr/>
      </w:pPr>
      <w:bookmarkStart w:colFirst="0" w:colLast="0" w:name="_heading=h.1pxezwc" w:id="33"/>
      <w:bookmarkEnd w:id="33"/>
      <w:r w:rsidDel="00000000" w:rsidR="00000000" w:rsidRPr="00000000">
        <w:rPr>
          <w:rtl w:val="0"/>
        </w:rPr>
        <w:t xml:space="preserve">23.</w:t>
        <w:tab/>
        <w:t xml:space="preserve">Tender guarantee</w:t>
      </w:r>
    </w:p>
    <w:p w:rsidR="00000000" w:rsidDel="00000000" w:rsidP="00000000" w:rsidRDefault="00000000" w:rsidRPr="00000000" w14:paraId="000000AA">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tender guarantee is required</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AB">
      <w:pPr>
        <w:pStyle w:val="Heading1"/>
        <w:rPr/>
      </w:pPr>
      <w:bookmarkStart w:colFirst="0" w:colLast="0" w:name="_heading=h.49x2ik5" w:id="34"/>
      <w:bookmarkEnd w:id="34"/>
      <w:r w:rsidDel="00000000" w:rsidR="00000000" w:rsidRPr="00000000">
        <w:rPr>
          <w:rtl w:val="0"/>
        </w:rPr>
        <w:t xml:space="preserve">24. Ethics clauses and code of conduct</w:t>
      </w:r>
    </w:p>
    <w:p w:rsidR="00000000" w:rsidDel="00000000" w:rsidP="00000000" w:rsidRDefault="00000000" w:rsidRPr="00000000" w14:paraId="000000AC">
      <w:pPr>
        <w:pStyle w:val="Heading2"/>
        <w:keepNext w:val="0"/>
        <w:ind w:left="567" w:hanging="567"/>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24.1</w:t>
        <w:tab/>
      </w:r>
      <w:r w:rsidDel="00000000" w:rsidR="00000000" w:rsidRPr="00000000">
        <w:rPr>
          <w:rFonts w:ascii="Times New Roman" w:cs="Times New Roman" w:eastAsia="Times New Roman" w:hAnsi="Times New Roman"/>
          <w:sz w:val="22"/>
          <w:szCs w:val="22"/>
          <w:u w:val="single"/>
          <w:rtl w:val="0"/>
        </w:rPr>
        <w:t xml:space="preserve">Absence of conflict of interest</w:t>
      </w:r>
    </w:p>
    <w:p w:rsidR="00000000" w:rsidDel="00000000" w:rsidP="00000000" w:rsidRDefault="00000000" w:rsidRPr="00000000" w14:paraId="000000AD">
      <w:pPr>
        <w:keepNext w:val="1"/>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000000" w:rsidDel="00000000" w:rsidP="00000000" w:rsidRDefault="00000000" w:rsidRPr="00000000" w14:paraId="000000AE">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24.2</w:t>
        <w:tab/>
      </w:r>
      <w:r w:rsidDel="00000000" w:rsidR="00000000" w:rsidRPr="00000000">
        <w:rPr>
          <w:rFonts w:ascii="Times New Roman" w:cs="Times New Roman" w:eastAsia="Times New Roman" w:hAnsi="Times New Roman"/>
          <w:sz w:val="22"/>
          <w:szCs w:val="22"/>
          <w:u w:val="single"/>
          <w:rtl w:val="0"/>
        </w:rPr>
        <w:t xml:space="preserve">Respect for human rights as well as environmental legislation and core labour standards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AF">
      <w:pPr>
        <w:keepNext w:val="1"/>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000000" w:rsidDel="00000000" w:rsidP="00000000" w:rsidRDefault="00000000" w:rsidRPr="00000000" w14:paraId="000000B0">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Zero tolerance for sexual exploitation, abuse and harassment:</w:t>
      </w:r>
    </w:p>
    <w:p w:rsidR="00000000" w:rsidDel="00000000" w:rsidP="00000000" w:rsidRDefault="00000000" w:rsidRPr="00000000" w14:paraId="000000B1">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European Commission applies a policy of 'zero tolerance' in relation to all wrongful conduct which has an impact on the professional credibility of the tenderer. </w:t>
      </w:r>
    </w:p>
    <w:p w:rsidR="00000000" w:rsidDel="00000000" w:rsidP="00000000" w:rsidRDefault="00000000" w:rsidRPr="00000000" w14:paraId="000000B2">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Physical abuse or punishment, or threats of physical abuse, sexual abuse or exploitation, harassment and verbal abuse, as well as other forms of intimidation shall be prohibited. </w:t>
      </w:r>
    </w:p>
    <w:p w:rsidR="00000000" w:rsidDel="00000000" w:rsidP="00000000" w:rsidRDefault="00000000" w:rsidRPr="00000000" w14:paraId="000000B3">
      <w:pPr>
        <w:pStyle w:val="Heading2"/>
        <w:keepNext w:val="0"/>
        <w:ind w:left="567" w:hanging="567"/>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24.3</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u w:val="single"/>
          <w:rtl w:val="0"/>
        </w:rPr>
        <w:t xml:space="preserve">Anti-corruption and anti-bribery</w:t>
      </w:r>
    </w:p>
    <w:p w:rsidR="00000000" w:rsidDel="00000000" w:rsidP="00000000" w:rsidRDefault="00000000" w:rsidRPr="00000000" w14:paraId="000000B4">
      <w:pP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000000" w:rsidDel="00000000" w:rsidP="00000000" w:rsidRDefault="00000000" w:rsidRPr="00000000" w14:paraId="000000B5">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24.4</w:t>
        <w:tab/>
      </w:r>
      <w:r w:rsidDel="00000000" w:rsidR="00000000" w:rsidRPr="00000000">
        <w:rPr>
          <w:rFonts w:ascii="Times New Roman" w:cs="Times New Roman" w:eastAsia="Times New Roman" w:hAnsi="Times New Roman"/>
          <w:sz w:val="22"/>
          <w:szCs w:val="22"/>
          <w:u w:val="single"/>
          <w:rtl w:val="0"/>
        </w:rPr>
        <w:t xml:space="preserve">Unusual commercial expenses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B6">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000000" w:rsidDel="00000000" w:rsidP="00000000" w:rsidRDefault="00000000" w:rsidRPr="00000000" w14:paraId="000000B7">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Contractors found to have paid unusual commercial expenses on projects funded by the European Union are liable, depending on the seriousness of the facts observed, to have their contracts terminated or to be permanently excluded from receiving EU funds.</w:t>
      </w:r>
    </w:p>
    <w:p w:rsidR="00000000" w:rsidDel="00000000" w:rsidP="00000000" w:rsidRDefault="00000000" w:rsidRPr="00000000" w14:paraId="000000B8">
      <w:pPr>
        <w:pStyle w:val="Heading2"/>
        <w:keepNext w:val="0"/>
        <w:ind w:left="567" w:hanging="567"/>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24.5</w:t>
        <w:tab/>
      </w:r>
      <w:r w:rsidDel="00000000" w:rsidR="00000000" w:rsidRPr="00000000">
        <w:rPr>
          <w:rFonts w:ascii="Times New Roman" w:cs="Times New Roman" w:eastAsia="Times New Roman" w:hAnsi="Times New Roman"/>
          <w:sz w:val="22"/>
          <w:szCs w:val="22"/>
          <w:u w:val="single"/>
          <w:rtl w:val="0"/>
        </w:rPr>
        <w:t xml:space="preserve">Breach of obligations, irregularities or fraud</w:t>
      </w:r>
    </w:p>
    <w:p w:rsidR="00000000" w:rsidDel="00000000" w:rsidP="00000000" w:rsidRDefault="00000000" w:rsidRPr="00000000" w14:paraId="000000B9">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000000" w:rsidDel="00000000" w:rsidP="00000000" w:rsidRDefault="00000000" w:rsidRPr="00000000" w14:paraId="000000BA">
      <w:pPr>
        <w:pStyle w:val="Heading1"/>
        <w:rPr/>
      </w:pPr>
      <w:bookmarkStart w:colFirst="0" w:colLast="0" w:name="_heading=h.2p2csry" w:id="35"/>
      <w:bookmarkEnd w:id="35"/>
      <w:r w:rsidDel="00000000" w:rsidR="00000000" w:rsidRPr="00000000">
        <w:rPr>
          <w:rtl w:val="0"/>
        </w:rPr>
        <w:t xml:space="preserve">25.</w:t>
        <w:tab/>
        <w:t xml:space="preserve">Cancellation of the tender procedure</w:t>
      </w:r>
    </w:p>
    <w:p w:rsidR="00000000" w:rsidDel="00000000" w:rsidP="00000000" w:rsidRDefault="00000000" w:rsidRPr="00000000" w14:paraId="000000BB">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If a tender procedure is cancelled, tenderers will be notified by the contracting authority. </w:t>
      </w:r>
    </w:p>
    <w:p w:rsidR="00000000" w:rsidDel="00000000" w:rsidP="00000000" w:rsidRDefault="00000000" w:rsidRPr="00000000" w14:paraId="000000BC">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If the tender procedure is cancelled before the tender opening session the sealed envelopes will be returned, unopened, to the tenderers.</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Rule="auto"/>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Cancellation may occur, for example, if:</w:t>
      </w:r>
    </w:p>
    <w:p w:rsidR="00000000" w:rsidDel="00000000" w:rsidP="00000000" w:rsidRDefault="00000000" w:rsidRPr="00000000" w14:paraId="000000BE">
      <w:pPr>
        <w:numPr>
          <w:ilvl w:val="0"/>
          <w:numId w:val="2"/>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tender procedure has been unsuccessful, namely where no suitable, qualitatively or financially acceptable tender has been received or there has been no valid response at all;</w:t>
      </w:r>
    </w:p>
    <w:p w:rsidR="00000000" w:rsidDel="00000000" w:rsidP="00000000" w:rsidRDefault="00000000" w:rsidRPr="00000000" w14:paraId="000000BF">
      <w:pPr>
        <w:numPr>
          <w:ilvl w:val="0"/>
          <w:numId w:val="2"/>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economic or technical parameters of the project have changed fundamentally;</w:t>
      </w:r>
    </w:p>
    <w:p w:rsidR="00000000" w:rsidDel="00000000" w:rsidP="00000000" w:rsidRDefault="00000000" w:rsidRPr="00000000" w14:paraId="000000C0">
      <w:pPr>
        <w:numPr>
          <w:ilvl w:val="0"/>
          <w:numId w:val="2"/>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exceptional circumstances or </w:t>
      </w:r>
      <w:r w:rsidDel="00000000" w:rsidR="00000000" w:rsidRPr="00000000">
        <w:rPr>
          <w:rFonts w:ascii="Times New Roman" w:cs="Times New Roman" w:eastAsia="Times New Roman" w:hAnsi="Times New Roman"/>
          <w:i w:val="1"/>
          <w:color w:val="000000"/>
          <w:sz w:val="22"/>
          <w:szCs w:val="22"/>
          <w:rtl w:val="0"/>
        </w:rPr>
        <w:t xml:space="preserve">force majeure</w:t>
      </w:r>
      <w:r w:rsidDel="00000000" w:rsidR="00000000" w:rsidRPr="00000000">
        <w:rPr>
          <w:rFonts w:ascii="Times New Roman" w:cs="Times New Roman" w:eastAsia="Times New Roman" w:hAnsi="Times New Roman"/>
          <w:color w:val="000000"/>
          <w:sz w:val="22"/>
          <w:szCs w:val="22"/>
          <w:rtl w:val="0"/>
        </w:rPr>
        <w:t xml:space="preserve"> render normal implementation of the project impossible;</w:t>
      </w:r>
    </w:p>
    <w:p w:rsidR="00000000" w:rsidDel="00000000" w:rsidP="00000000" w:rsidRDefault="00000000" w:rsidRPr="00000000" w14:paraId="000000C1">
      <w:pPr>
        <w:numPr>
          <w:ilvl w:val="0"/>
          <w:numId w:val="2"/>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all technically acceptable tenders exceed the financial resources available;</w:t>
      </w:r>
    </w:p>
    <w:p w:rsidR="00000000" w:rsidDel="00000000" w:rsidP="00000000" w:rsidRDefault="00000000" w:rsidRPr="00000000" w14:paraId="000000C2">
      <w:pPr>
        <w:numPr>
          <w:ilvl w:val="0"/>
          <w:numId w:val="2"/>
        </w:numPr>
        <w:pBdr>
          <w:top w:space="0" w:sz="0" w:val="nil"/>
          <w:left w:space="0" w:sz="0" w:val="nil"/>
          <w:bottom w:space="0" w:sz="0" w:val="nil"/>
          <w:right w:space="0" w:sz="0" w:val="nil"/>
          <w:between w:space="0" w:sz="0" w:val="nil"/>
        </w:pBdr>
        <w:tabs>
          <w:tab w:val="left" w:leader="none" w:pos="1134"/>
        </w:tabs>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there have been breach of obligations, irregularities or frauds in the procedure, in particular where these have prevented fair competition;</w:t>
      </w:r>
    </w:p>
    <w:p w:rsidR="00000000" w:rsidDel="00000000" w:rsidP="00000000" w:rsidRDefault="00000000" w:rsidRPr="00000000" w14:paraId="000000C3">
      <w:pPr>
        <w:numPr>
          <w:ilvl w:val="0"/>
          <w:numId w:val="2"/>
        </w:numPr>
        <w:pBdr>
          <w:top w:space="0" w:sz="0" w:val="nil"/>
          <w:left w:space="0" w:sz="0" w:val="nil"/>
          <w:bottom w:space="0" w:sz="0" w:val="nil"/>
          <w:right w:space="0" w:sz="0" w:val="nil"/>
          <w:between w:space="0" w:sz="0" w:val="nil"/>
        </w:pBdr>
        <w:tabs>
          <w:tab w:val="left" w:leader="none" w:pos="1134"/>
        </w:tabs>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567"/>
        </w:tabs>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rsidR="00000000" w:rsidDel="00000000" w:rsidP="00000000" w:rsidRDefault="00000000" w:rsidRPr="00000000" w14:paraId="000000C5">
      <w:pPr>
        <w:pStyle w:val="Heading1"/>
        <w:rPr/>
      </w:pPr>
      <w:r w:rsidDel="00000000" w:rsidR="00000000" w:rsidRPr="00000000">
        <w:rPr>
          <w:rtl w:val="0"/>
        </w:rPr>
        <w:t xml:space="preserve">26. </w:t>
        <w:tab/>
        <w:t xml:space="preserve">Appeals</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0" w:lineRule="auto"/>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Tenderers believing that they have been harmed by an error or irregularity during the award process may file a complaint. See Section 2.12. of the practical guide.</w:t>
      </w:r>
    </w:p>
    <w:p w:rsidR="00000000" w:rsidDel="00000000" w:rsidP="00000000" w:rsidRDefault="00000000" w:rsidRPr="00000000" w14:paraId="000000C7">
      <w:pPr>
        <w:keepNext w:val="1"/>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27. Data Protection</w:t>
      </w:r>
    </w:p>
    <w:p w:rsidR="00000000" w:rsidDel="00000000" w:rsidP="00000000" w:rsidRDefault="00000000" w:rsidRPr="00000000" w14:paraId="000000C8">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Processing of personal data related to this tender procedure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C9">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CA">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Details concerning processing of your personal data by the Commission are available on the privacy statement at:</w:t>
      </w:r>
    </w:p>
    <w:p w:rsidR="00000000" w:rsidDel="00000000" w:rsidP="00000000" w:rsidRDefault="00000000" w:rsidRPr="00000000" w14:paraId="000000CB">
      <w:pPr>
        <w:tabs>
          <w:tab w:val="left" w:leader="none" w:pos="567"/>
        </w:tabs>
        <w:ind w:lef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ff"/>
          <w:sz w:val="22"/>
          <w:szCs w:val="22"/>
          <w:u w:val="single"/>
          <w:rtl w:val="0"/>
        </w:rPr>
        <w:t xml:space="preserve"> </w:t>
      </w:r>
      <w:hyperlink r:id="rId12">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CC">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above-mentioned privacy statement to them.</w:t>
      </w:r>
    </w:p>
    <w:p w:rsidR="00000000" w:rsidDel="00000000" w:rsidP="00000000" w:rsidRDefault="00000000" w:rsidRPr="00000000" w14:paraId="000000CD">
      <w:pPr>
        <w:pStyle w:val="Heading1"/>
        <w:rPr>
          <w:sz w:val="22"/>
          <w:szCs w:val="22"/>
        </w:rPr>
      </w:pPr>
      <w:r w:rsidDel="00000000" w:rsidR="00000000" w:rsidRPr="00000000">
        <w:rPr>
          <w:rtl w:val="0"/>
        </w:rPr>
        <w:t xml:space="preserve">28.</w:t>
        <w:tab/>
        <w:t xml:space="preserve">Early detection and exclusion system</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execution of a procurement contract.</w:t>
      </w:r>
    </w:p>
    <w:sectPr>
      <w:footerReference r:id="rId13" w:type="default"/>
      <w:footerReference r:id="rId14" w:type="first"/>
      <w:footerReference r:id="rId15" w:type="even"/>
      <w:pgSz w:h="16838" w:w="11906" w:orient="portrait"/>
      <w:pgMar w:bottom="1134" w:top="709" w:left="1134" w:right="1418" w:header="720" w:footer="4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7">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c4b_itt_en.doc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color w:val="000000"/>
        <w:rtl w:val="0"/>
      </w:rPr>
      <w:t xml:space="preserve">2006</w:t>
      <w:tab/>
      <w:tab/>
      <w:tab/>
      <w:tab/>
      <w:tab/>
      <w:tab/>
      <w:tab/>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DDP (Delivered Duty Paid) / DAP (Delivered At Place) — Incoterms 2020 International Chamber of Commerce </w:t>
      </w:r>
      <w:hyperlink r:id="rId1">
        <w:r w:rsidDel="00000000" w:rsidR="00000000" w:rsidRPr="00000000">
          <w:rPr>
            <w:rFonts w:ascii="Times New Roman" w:cs="Times New Roman" w:eastAsia="Times New Roman" w:hAnsi="Times New Roman"/>
            <w:color w:val="0000ff"/>
            <w:u w:val="single"/>
            <w:rtl w:val="0"/>
          </w:rPr>
          <w:t xml:space="preserve">http://www.iccwbo.org/incoterms/</w:t>
        </w:r>
      </w:hyperlink>
      <w:r w:rsidDel="00000000" w:rsidR="00000000" w:rsidRPr="00000000">
        <w:rPr>
          <w:rtl w:val="0"/>
        </w:rPr>
      </w:r>
    </w:p>
  </w:footnote>
  <w:footnote w:id="1">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See PRAG Section 2.6.10.1.3 A)</w:t>
      </w:r>
    </w:p>
  </w:footnote>
  <w:footnote w:id="2">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currency of tender shall be the currency of the contract and of payment.</w:t>
      </w:r>
    </w:p>
  </w:footnote>
  <w:footnote w:id="3">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It is recommended to use registered mail in case the postmark would not be readable</w:t>
      </w:r>
    </w:p>
  </w:footnote>
  <w:footnote w:id="4">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DAP (Delivered at Place) — Incoterms 2020 International Chamber of Commerce  </w:t>
      </w:r>
      <w:hyperlink r:id="rId2">
        <w:r w:rsidDel="00000000" w:rsidR="00000000" w:rsidRPr="00000000">
          <w:rPr>
            <w:rFonts w:ascii="Times New Roman" w:cs="Times New Roman" w:eastAsia="Times New Roman" w:hAnsi="Times New Roman"/>
            <w:color w:val="0000ff"/>
            <w:u w:val="single"/>
            <w:rtl w:val="0"/>
          </w:rPr>
          <w:t xml:space="preserve">http://www.iccwbo.org/incoterms/</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70" w:hanging="360"/>
      </w:pPr>
      <w:rPr>
        <w:u w:val="none"/>
      </w:rPr>
    </w:lvl>
    <w:lvl w:ilvl="1">
      <w:start w:val="1"/>
      <w:numFmt w:val="bullet"/>
      <w:lvlText w:val="o"/>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o"/>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o"/>
      <w:lvlJc w:val="left"/>
      <w:pPr>
        <w:ind w:left="5826" w:hanging="360"/>
      </w:pPr>
      <w:rPr>
        <w:u w:val="none"/>
      </w:rPr>
    </w:lvl>
    <w:lvl w:ilvl="8">
      <w:start w:val="1"/>
      <w:numFmt w:val="bullet"/>
      <w:lvlText w:val="▪"/>
      <w:lvlJc w:val="left"/>
      <w:pPr>
        <w:ind w:left="6546" w:hanging="360"/>
      </w:pPr>
      <w:rPr>
        <w:u w:val="none"/>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3"/>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3">
    <w:lvl w:ilvl="0">
      <w:start w:val="20"/>
      <w:numFmt w:val="decimal"/>
      <w:lvlText w:val="%1."/>
      <w:lvlJc w:val="left"/>
      <w:pPr>
        <w:ind w:left="567" w:hanging="567"/>
      </w:pPr>
      <w:rPr>
        <w:rFonts w:ascii="Times New Roman" w:cs="Times New Roman" w:eastAsia="Times New Roman" w:hAnsi="Times New Roman"/>
        <w:b w:val="1"/>
        <w:i w:val="0"/>
        <w:sz w:val="28"/>
        <w:szCs w:val="28"/>
      </w:rPr>
    </w:lvl>
    <w:lvl w:ilvl="1">
      <w:start w:val="7"/>
      <w:numFmt w:val="decimal"/>
      <w:lvlText w:val="%1.%2"/>
      <w:lvlJc w:val="left"/>
      <w:pPr>
        <w:ind w:left="567" w:hanging="567"/>
      </w:pPr>
      <w:rPr>
        <w:rFonts w:ascii="Times New Roman" w:cs="Times New Roman" w:eastAsia="Times New Roman" w:hAnsi="Times New Roman"/>
        <w:b w:val="0"/>
        <w:i w:val="0"/>
        <w:sz w:val="22"/>
        <w:szCs w:val="22"/>
      </w:rPr>
    </w:lvl>
    <w:lvl w:ilvl="2">
      <w:start w:val="1"/>
      <w:numFmt w:val="lowerLetter"/>
      <w:lvlText w:val="%3)"/>
      <w:lvlJc w:val="left"/>
      <w:pPr>
        <w:ind w:left="1134" w:hanging="567"/>
      </w:pPr>
      <w:rPr>
        <w:rFonts w:ascii="Arial" w:cs="Arial" w:eastAsia="Arial" w:hAnsi="Arial"/>
        <w:b w:val="0"/>
        <w:i w:val="0"/>
        <w:sz w:val="20"/>
        <w:szCs w:val="2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
      <w:lvlJc w:val="left"/>
      <w:pPr>
        <w:ind w:left="0" w:firstLine="0"/>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567" w:hanging="567"/>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447" w:hanging="360"/>
    </w:pPr>
    <w:rPr>
      <w:b w:val="1"/>
      <w:sz w:val="24"/>
      <w:szCs w:val="24"/>
    </w:rPr>
  </w:style>
  <w:style w:type="paragraph" w:styleId="Heading5">
    <w:name w:val="heading 5"/>
    <w:basedOn w:val="Normal"/>
    <w:next w:val="Normal"/>
    <w:pPr>
      <w:spacing w:after="60" w:before="240" w:lineRule="auto"/>
      <w:ind w:left="4167"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link w:val="Balk7Char"/>
    <w:qFormat w:val="1"/>
    <w:pPr>
      <w:numPr>
        <w:ilvl w:val="6"/>
        <w:numId w:val="2"/>
      </w:numPr>
      <w:spacing w:after="60" w:before="240"/>
      <w:outlineLvl w:val="6"/>
    </w:pPr>
  </w:style>
  <w:style w:type="paragraph" w:styleId="Balk8">
    <w:name w:val="heading 8"/>
    <w:basedOn w:val="Normal"/>
    <w:next w:val="Normal"/>
    <w:link w:val="Balk8Char"/>
    <w:qFormat w:val="1"/>
    <w:pPr>
      <w:numPr>
        <w:ilvl w:val="7"/>
        <w:numId w:val="2"/>
      </w:numPr>
      <w:spacing w:after="60" w:before="240"/>
      <w:outlineLvl w:val="7"/>
    </w:pPr>
    <w:rPr>
      <w:i w:val="1"/>
    </w:rPr>
  </w:style>
  <w:style w:type="paragraph" w:styleId="Balk9">
    <w:name w:val="heading 9"/>
    <w:basedOn w:val="Normal"/>
    <w:next w:val="Normal"/>
    <w:link w:val="Balk9Char"/>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GvdeMetniGirintisi">
    <w:name w:val="Body Text Indent"/>
    <w:basedOn w:val="Normal"/>
    <w:link w:val="GvdeMetniGirintisiChar"/>
    <w:pPr>
      <w:tabs>
        <w:tab w:val="num" w:pos="567"/>
      </w:tabs>
      <w:spacing w:after="0" w:before="0"/>
      <w:jc w:val="both"/>
    </w:pPr>
    <w:rPr>
      <w:rFonts w:ascii="Times New Roman" w:hAnsi="Times New Roman"/>
      <w:sz w:val="24"/>
    </w:rPr>
  </w:style>
  <w:style w:type="paragraph" w:styleId="GvdeMetni">
    <w:name w:val="Body Text"/>
    <w:basedOn w:val="Normal"/>
    <w:link w:val="GvdeMetniCha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rPr>
  </w:style>
  <w:style w:type="paragraph" w:styleId="GvdeMetniGirintisi3">
    <w:name w:val="Body Text Indent 3"/>
    <w:basedOn w:val="Normal"/>
    <w:link w:val="GvdeMetniGirintisi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uiPriority w:val="99"/>
    <w:qFormat w:val="1"/>
    <w:rsid w:val="00EB295F"/>
    <w:pPr>
      <w:spacing w:before="0"/>
    </w:pPr>
    <w:rPr>
      <w:rFonts w:ascii="Times New Roman" w:hAnsi="Times New Roman"/>
      <w:lang w:val="fr-FR"/>
    </w:r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uiPriority w:val="99"/>
    <w:qFormat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next w:val="Normal"/>
    <w:autoRedefine w:val="1"/>
    <w:pPr>
      <w:pageBreakBefore w:val="1"/>
      <w:tabs>
        <w:tab w:val="left" w:pos="567"/>
        <w:tab w:val="left" w:pos="2552"/>
        <w:tab w:val="left" w:pos="7938"/>
        <w:tab w:val="left" w:pos="9072"/>
      </w:tabs>
      <w:spacing w:after="0" w:before="0"/>
    </w:pPr>
    <w:rPr>
      <w:caps w:val="1"/>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before="0"/>
      <w:jc w:val="both"/>
    </w:pPr>
    <w:rPr>
      <w:rFonts w:ascii="Times New Roman" w:hAnsi="Times New Roman"/>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autoRedefine w:val="1"/>
    <w:rsid w:val="00A4424B"/>
    <w:rPr>
      <w:bCs w:val="1"/>
      <w:iCs w:val="1"/>
      <w:sz w:val="24"/>
      <w:szCs w:val="24"/>
    </w:rPr>
  </w:style>
  <w:style w:type="character" w:styleId="Balk2Char" w:customStyle="1">
    <w:name w:val="Başlık 2 Char"/>
    <w:semiHidden w:val="1"/>
    <w:locked w:val="1"/>
    <w:rsid w:val="0047783A"/>
    <w:rPr>
      <w:rFonts w:ascii="Arial" w:hAnsi="Arial"/>
      <w:snapToGrid w:val="0"/>
      <w:lang w:bidi="ar-SA" w:eastAsia="en-US" w:val="fr-BE"/>
    </w:rPr>
  </w:style>
  <w:style w:type="character" w:styleId="Balk1Char" w:customStyle="1">
    <w:name w:val="Başlık 1 Char"/>
    <w:rsid w:val="00A240E1"/>
    <w:rPr>
      <w:b w:val="1"/>
      <w:snapToGrid w:val="0"/>
      <w:sz w:val="28"/>
      <w:lang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semiHidden w:val="1"/>
    <w:locked w:val="1"/>
    <w:rsid w:val="0047783A"/>
    <w:rPr>
      <w:rFonts w:ascii="Arial" w:hAnsi="Arial"/>
      <w:snapToGrid w:val="0"/>
      <w:lang w:bidi="ar-SA" w:eastAsia="en-US" w:val="en-GB"/>
    </w:rPr>
  </w:style>
  <w:style w:type="character" w:styleId="Balk4Char" w:customStyle="1">
    <w:name w:val="Başlık 4 Char"/>
    <w:semiHidden w:val="1"/>
    <w:locked w:val="1"/>
    <w:rsid w:val="0047783A"/>
    <w:rPr>
      <w:rFonts w:ascii="Arial" w:hAnsi="Arial"/>
      <w:b w:val="1"/>
      <w:snapToGrid w:val="0"/>
      <w:sz w:val="24"/>
      <w:lang w:bidi="ar-SA" w:eastAsia="en-US" w:val="sv-SE"/>
    </w:rPr>
  </w:style>
  <w:style w:type="character" w:styleId="Balk5Char" w:customStyle="1">
    <w:name w:val="Başlık 5 Char"/>
    <w:semiHidden w:val="1"/>
    <w:locked w:val="1"/>
    <w:rsid w:val="0047783A"/>
    <w:rPr>
      <w:rFonts w:ascii="Arial" w:hAnsi="Arial"/>
      <w:snapToGrid w:val="0"/>
      <w:sz w:val="22"/>
      <w:lang w:bidi="ar-SA" w:eastAsia="en-US" w:val="sv-SE"/>
    </w:rPr>
  </w:style>
  <w:style w:type="character" w:styleId="Balk6Char" w:customStyle="1">
    <w:name w:val="Başlık 6 Char"/>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ocked w:val="1"/>
    <w:rsid w:val="0047783A"/>
    <w:rPr>
      <w:rFonts w:ascii="Arial" w:hAnsi="Arial"/>
      <w:b w:val="1"/>
      <w:snapToGrid w:val="0"/>
      <w:sz w:val="28"/>
      <w:lang w:bidi="ar-SA" w:eastAsia="en-US" w:val="fr-BE"/>
    </w:rPr>
  </w:style>
  <w:style w:type="character" w:styleId="AltyazChar" w:customStyle="1">
    <w:name w:val="Altyazı Char"/>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semiHidden w:val="1"/>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uiPriority w:val="99"/>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style>
  <w:style w:type="paragraph" w:styleId="Style11ptBlackJustifiedRight001cmBefore865ptL" w:customStyle="1">
    <w:name w:val="Style 11 pt Black Justified Right:  001 cm Before:  865 pt L..."/>
    <w:basedOn w:val="Normal"/>
    <w:next w:val="Normal"/>
    <w:autoRedefine w:val="1"/>
    <w:rsid w:val="0047783A"/>
    <w:pPr>
      <w:numPr>
        <w:numId w:val="5"/>
      </w:numPr>
      <w:shd w:color="auto" w:fill="ffffff" w:val="clear"/>
      <w:tabs>
        <w:tab w:val="right" w:pos="1701"/>
      </w:tabs>
      <w:spacing w:before="60" w:line="212" w:lineRule="exact"/>
      <w:ind w:right="6"/>
      <w:jc w:val="both"/>
    </w:pPr>
    <w:rPr>
      <w:rFonts w:ascii="Times New Roman" w:hAnsi="Times New Roman"/>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before="0"/>
      <w:ind w:left="567"/>
      <w:textAlignment w:val="baseline"/>
    </w:pPr>
    <w:rPr>
      <w:rFonts w:ascii="Times New Roman" w:hAnsi="Times New Roman"/>
      <w:bCs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before="0" w:line="240" w:lineRule="exact"/>
    </w:pPr>
    <w:rPr>
      <w:rFonts w:ascii="Tahoma" w:hAnsi="Tahoma"/>
      <w:lang w:val="en-US"/>
    </w:rPr>
  </w:style>
  <w:style w:type="character" w:styleId="AklamaBavurusu">
    <w:name w:val="annotation reference"/>
    <w:rsid w:val="00EE23B1"/>
    <w:rPr>
      <w:sz w:val="16"/>
      <w:szCs w:val="16"/>
    </w:rPr>
  </w:style>
  <w:style w:type="paragraph" w:styleId="AklamaMetni">
    <w:name w:val="annotation text"/>
    <w:basedOn w:val="Normal"/>
    <w:link w:val="AklamaMetniChar"/>
    <w:rsid w:val="00EE23B1"/>
  </w:style>
  <w:style w:type="paragraph" w:styleId="AklamaKonusu">
    <w:name w:val="annotation subject"/>
    <w:basedOn w:val="AklamaMetni"/>
    <w:next w:val="AklamaMetni"/>
    <w:semiHidden w:val="1"/>
    <w:rsid w:val="00EE23B1"/>
    <w:rPr>
      <w:b w:val="1"/>
      <w:bCs w:val="1"/>
    </w:rPr>
  </w:style>
  <w:style w:type="paragraph" w:styleId="ListeParagraf">
    <w:name w:val="List Paragraph"/>
    <w:basedOn w:val="Normal"/>
    <w:uiPriority w:val="34"/>
    <w:qFormat w:val="1"/>
    <w:rsid w:val="009A538A"/>
    <w:pPr>
      <w:spacing w:after="0" w:before="0"/>
      <w:ind w:left="720"/>
    </w:pPr>
    <w:rPr>
      <w:rFonts w:ascii="Calibri" w:eastAsia="Calibri" w:hAnsi="Calibri"/>
      <w:sz w:val="22"/>
      <w:szCs w:val="22"/>
    </w:rPr>
  </w:style>
  <w:style w:type="paragraph" w:styleId="PRAGHeading2" w:customStyle="1">
    <w:name w:val="PRAG Heading 2"/>
    <w:basedOn w:val="Normal"/>
    <w:rsid w:val="00123EDC"/>
    <w:pPr>
      <w:widowControl w:val="0"/>
      <w:tabs>
        <w:tab w:val="num" w:pos="720"/>
      </w:tabs>
      <w:spacing w:after="100" w:before="100"/>
      <w:ind w:left="720" w:hanging="720"/>
    </w:pPr>
    <w:rPr>
      <w:rFonts w:ascii="Times New Roman" w:hAnsi="Times New Roman"/>
      <w:sz w:val="24"/>
      <w:lang w:val="fr-FR"/>
    </w:rPr>
  </w:style>
  <w:style w:type="character" w:styleId="AklamaMetniChar" w:customStyle="1">
    <w:name w:val="Açıklama Metni Char"/>
    <w:link w:val="AklamaMetni"/>
    <w:rsid w:val="00DA4D57"/>
    <w:rPr>
      <w:rFonts w:ascii="Arial" w:hAnsi="Arial"/>
      <w:snapToGrid w:val="0"/>
      <w:lang w:eastAsia="en-US"/>
    </w:rPr>
  </w:style>
  <w:style w:type="paragraph" w:styleId="Text1" w:customStyle="1">
    <w:name w:val="Text 1"/>
    <w:basedOn w:val="Normal"/>
    <w:link w:val="Text1Char"/>
    <w:qFormat w:val="1"/>
    <w:rsid w:val="002156A5"/>
    <w:pPr>
      <w:ind w:left="850"/>
      <w:jc w:val="both"/>
    </w:pPr>
    <w:rPr>
      <w:rFonts w:ascii="Times New Roman" w:eastAsia="Calibri" w:hAnsi="Times New Roman"/>
      <w:sz w:val="24"/>
      <w:szCs w:val="22"/>
    </w:rPr>
  </w:style>
  <w:style w:type="paragraph" w:styleId="Text2" w:customStyle="1">
    <w:name w:val="Text 2"/>
    <w:basedOn w:val="Normal"/>
    <w:rsid w:val="002156A5"/>
    <w:pPr>
      <w:ind w:left="1417"/>
      <w:jc w:val="both"/>
    </w:pPr>
    <w:rPr>
      <w:rFonts w:ascii="Times New Roman" w:eastAsia="Calibri" w:hAnsi="Times New Roman"/>
      <w:sz w:val="24"/>
      <w:szCs w:val="22"/>
    </w:rPr>
  </w:style>
  <w:style w:type="paragraph" w:styleId="Numbered" w:customStyle="1">
    <w:name w:val="Numbered"/>
    <w:basedOn w:val="Normal"/>
    <w:link w:val="NumberedChar"/>
    <w:qFormat w:val="1"/>
    <w:rsid w:val="006E1DB1"/>
    <w:pPr>
      <w:tabs>
        <w:tab w:val="num" w:pos="720"/>
      </w:tabs>
      <w:spacing w:after="0" w:before="0"/>
      <w:ind w:left="720" w:hanging="720"/>
      <w:jc w:val="both"/>
    </w:pPr>
    <w:rPr>
      <w:rFonts w:ascii="Times New Roman" w:hAnsi="Times New Roman"/>
      <w:sz w:val="24"/>
      <w:szCs w:val="24"/>
      <w:lang w:eastAsia="en-GB"/>
    </w:rPr>
  </w:style>
  <w:style w:type="character" w:styleId="NumberedChar" w:customStyle="1">
    <w:name w:val="Numbered Char"/>
    <w:link w:val="Numbered"/>
    <w:rsid w:val="006E1DB1"/>
    <w:rPr>
      <w:rFonts w:ascii="Times New Roman" w:hAnsi="Times New Roman"/>
      <w:sz w:val="24"/>
      <w:szCs w:val="24"/>
      <w:lang w:eastAsia="en-GB"/>
    </w:rPr>
  </w:style>
  <w:style w:type="character" w:styleId="Text1Char" w:customStyle="1">
    <w:name w:val="Text 1 Char"/>
    <w:link w:val="Text1"/>
    <w:rsid w:val="0005385E"/>
    <w:rPr>
      <w:rFonts w:eastAsia="Calibri"/>
      <w:sz w:val="24"/>
      <w:szCs w:val="22"/>
      <w:lang w:eastAsia="en-US"/>
    </w:rPr>
  </w:style>
  <w:style w:type="paragraph" w:styleId="Dzeltme">
    <w:name w:val="Revision"/>
    <w:hidden w:val="1"/>
    <w:uiPriority w:val="99"/>
    <w:semiHidden w:val="1"/>
    <w:rsid w:val="00EA23A7"/>
    <w:rPr>
      <w:snapToGrid w:val="0"/>
      <w:lang w:eastAsia="en-US"/>
    </w:rPr>
  </w:style>
  <w:style w:type="paragraph" w:styleId="paragraph" w:customStyle="1">
    <w:name w:val="paragraph"/>
    <w:basedOn w:val="Normal"/>
    <w:rsid w:val="00A808EF"/>
    <w:pPr>
      <w:spacing w:after="100" w:afterAutospacing="1" w:before="100" w:beforeAutospacing="1"/>
    </w:pPr>
    <w:rPr>
      <w:rFonts w:ascii="Times New Roman" w:hAnsi="Times New Roman"/>
      <w:sz w:val="24"/>
      <w:szCs w:val="24"/>
      <w:lang w:eastAsia="fr-BE" w:val="fr-BE"/>
    </w:rPr>
  </w:style>
  <w:style w:type="character" w:styleId="normaltextrun" w:customStyle="1">
    <w:name w:val="normaltextrun"/>
    <w:rsid w:val="00A808EF"/>
  </w:style>
  <w:style w:type="character" w:styleId="Vurgu">
    <w:name w:val="Emphasis"/>
    <w:uiPriority w:val="20"/>
    <w:qFormat w:val="1"/>
    <w:rsid w:val="00A6110F"/>
    <w:rPr>
      <w:i w:val="1"/>
    </w:rPr>
  </w:style>
  <w:style w:type="character" w:styleId="zmlenmeyenBahsetme1" w:customStyle="1">
    <w:name w:val="Çözümlenmeyen Bahsetme1"/>
    <w:basedOn w:val="VarsaylanParagrafYazTipi"/>
    <w:uiPriority w:val="99"/>
    <w:semiHidden w:val="1"/>
    <w:unhideWhenUsed w:val="1"/>
    <w:rsid w:val="00C24F1E"/>
    <w:rPr>
      <w:color w:val="605e5c"/>
      <w:shd w:color="auto" w:fill="e1dfdd" w:val="clear"/>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ikis.ec.europa.eu/spaces/ExactExternalWiki/pages/152798822/Annexes" TargetMode="External"/><Relationship Id="rId10" Type="http://schemas.openxmlformats.org/officeDocument/2006/relationships/hyperlink" Target="mailto:betul@redi-ngo.eu" TargetMode="External"/><Relationship Id="rId13" Type="http://schemas.openxmlformats.org/officeDocument/2006/relationships/footer" Target="footer2.xml"/><Relationship Id="rId12" Type="http://schemas.openxmlformats.org/officeDocument/2006/relationships/hyperlink" Target="https://wikis.ec.europa.eu/display/ExactExternalWiki/Annexes#Annexes-AnnexesA(Ch.2):Gener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betul@redi-ngo.eu"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intpa-econtent-public.s3.eu-west-1.amazonaws.com/ePrag/2021.1/ePrag-en-2021.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www.iccwbo.org/incoterms/" TargetMode="External"/><Relationship Id="rId2"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RR8liqJUMxSV53HyyfHgpwINVg==">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2025-06-26T10:43:00Z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