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SUPPLY CONTRACT NOTICE</w:t>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spacing w:after="0" w:lineRule="auto"/>
        <w:jc w:val="center"/>
        <w:rPr>
          <w:sz w:val="28"/>
          <w:szCs w:val="28"/>
        </w:rPr>
      </w:pPr>
      <w:bookmarkStart w:colFirst="0" w:colLast="0" w:name="_heading=h.gjdgxs" w:id="0"/>
      <w:bookmarkEnd w:id="0"/>
      <w:r w:rsidDel="00000000" w:rsidR="00000000" w:rsidRPr="00000000">
        <w:rPr>
          <w:b w:val="1"/>
          <w:sz w:val="28"/>
          <w:szCs w:val="28"/>
          <w:rtl w:val="0"/>
        </w:rPr>
        <w:t xml:space="preserve">Supply of Consumables and office materials for the Implementation of Project – EU Support to REDI Phase II: Advancing Roma Entrepreneurs in the Western Balkans and Türkiye</w:t>
      </w:r>
      <w:r w:rsidDel="00000000" w:rsidR="00000000" w:rsidRPr="00000000">
        <w:rPr>
          <w:rtl w:val="0"/>
        </w:rPr>
      </w:r>
    </w:p>
    <w:p w:rsidR="00000000" w:rsidDel="00000000" w:rsidP="00000000" w:rsidRDefault="00000000" w:rsidRPr="00000000" w14:paraId="00000004">
      <w:pPr>
        <w:rPr>
          <w:b w:val="1"/>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b w:val="1"/>
          <w:sz w:val="22"/>
          <w:szCs w:val="22"/>
          <w:rtl w:val="0"/>
        </w:rPr>
        <w:t xml:space="preserve">1.</w:t>
        <w:tab/>
        <w:t xml:space="preserve">Reference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right="360"/>
        <w:rPr>
          <w:i w:val="1"/>
          <w:color w:val="000000"/>
          <w:sz w:val="22"/>
          <w:szCs w:val="22"/>
        </w:rPr>
      </w:pPr>
      <w:r w:rsidDel="00000000" w:rsidR="00000000" w:rsidRPr="00000000">
        <w:rPr>
          <w:color w:val="000000"/>
          <w:sz w:val="22"/>
          <w:szCs w:val="22"/>
          <w:rtl w:val="0"/>
        </w:rPr>
        <w:t xml:space="preserve">IPA III/2024/457-197/TK-005</w:t>
      </w: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b w:val="1"/>
          <w:sz w:val="22"/>
          <w:szCs w:val="22"/>
          <w:rtl w:val="0"/>
        </w:rPr>
        <w:t xml:space="preserve">2.</w:t>
        <w:tab/>
        <w:t xml:space="preserve">Procedure</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357"/>
        <w:jc w:val="both"/>
        <w:rPr>
          <w:color w:val="000000"/>
          <w:sz w:val="22"/>
          <w:szCs w:val="22"/>
        </w:rPr>
      </w:pPr>
      <w:r w:rsidDel="00000000" w:rsidR="00000000" w:rsidRPr="00000000">
        <w:rPr>
          <w:color w:val="000000"/>
          <w:sz w:val="22"/>
          <w:szCs w:val="22"/>
          <w:rtl w:val="0"/>
        </w:rPr>
        <w:t xml:space="preserve">Simplified </w:t>
      </w:r>
    </w:p>
    <w:p w:rsidR="00000000" w:rsidDel="00000000" w:rsidP="00000000" w:rsidRDefault="00000000" w:rsidRPr="00000000" w14:paraId="00000009">
      <w:pPr>
        <w:rPr>
          <w:b w:val="1"/>
          <w:sz w:val="22"/>
          <w:szCs w:val="22"/>
        </w:rPr>
      </w:pPr>
      <w:r w:rsidDel="00000000" w:rsidR="00000000" w:rsidRPr="00000000">
        <w:rPr>
          <w:b w:val="1"/>
          <w:sz w:val="22"/>
          <w:szCs w:val="22"/>
          <w:rtl w:val="0"/>
        </w:rPr>
        <w:t xml:space="preserve">3. </w:t>
        <w:tab/>
        <w:t xml:space="preserve">Programme title</w:t>
      </w:r>
    </w:p>
    <w:p w:rsidR="00000000" w:rsidDel="00000000" w:rsidP="00000000" w:rsidRDefault="00000000" w:rsidRPr="00000000" w14:paraId="0000000A">
      <w:pPr>
        <w:pBdr>
          <w:top w:space="0" w:sz="0" w:val="nil"/>
          <w:left w:space="0" w:sz="0" w:val="nil"/>
          <w:bottom w:space="0" w:sz="0" w:val="nil"/>
          <w:right w:space="0" w:sz="0" w:val="nil"/>
          <w:between w:space="0" w:sz="0" w:val="nil"/>
        </w:pBdr>
        <w:ind w:right="26"/>
        <w:rPr>
          <w:color w:val="000000"/>
        </w:rPr>
      </w:pPr>
      <w:r w:rsidDel="00000000" w:rsidR="00000000" w:rsidRPr="00000000">
        <w:rPr>
          <w:color w:val="000000"/>
          <w:sz w:val="22"/>
          <w:szCs w:val="22"/>
          <w:rtl w:val="0"/>
        </w:rPr>
        <w:t xml:space="preserve">Instrument for Pre-accession Assistance (IPA) III – Performance</w:t>
      </w: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European Union</w:t>
      </w:r>
    </w:p>
    <w:p w:rsidR="00000000" w:rsidDel="00000000" w:rsidP="00000000" w:rsidRDefault="00000000" w:rsidRPr="00000000" w14:paraId="0000000D">
      <w:pPr>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E">
      <w:pPr>
        <w:ind w:right="357"/>
        <w:jc w:val="both"/>
        <w:rPr>
          <w:sz w:val="22"/>
          <w:szCs w:val="22"/>
          <w:highlight w:val="white"/>
        </w:rPr>
      </w:pPr>
      <w:r w:rsidDel="00000000" w:rsidR="00000000" w:rsidRPr="00000000">
        <w:rPr>
          <w:sz w:val="22"/>
          <w:szCs w:val="22"/>
          <w:rtl w:val="0"/>
        </w:rPr>
        <w:t xml:space="preserve">Roma Entrepreneurship Development Initiative REDI </w:t>
      </w:r>
      <w:r w:rsidDel="00000000" w:rsidR="00000000" w:rsidRPr="00000000">
        <w:rPr>
          <w:sz w:val="22"/>
          <w:szCs w:val="22"/>
          <w:highlight w:val="white"/>
          <w:rtl w:val="0"/>
        </w:rPr>
        <w:t xml:space="preserve">Türkiye (ROMAN GİRİŞİMCİLİĞİNİ GELİŞTİRME İNİSİYATİFİ DERNEĞİ)</w:t>
      </w:r>
    </w:p>
    <w:p w:rsidR="00000000" w:rsidDel="00000000" w:rsidP="00000000" w:rsidRDefault="00000000" w:rsidRPr="00000000" w14:paraId="0000000F">
      <w:pPr>
        <w:ind w:right="357"/>
        <w:jc w:val="both"/>
        <w:rPr>
          <w:sz w:val="22"/>
          <w:szCs w:val="22"/>
          <w:highlight w:val="white"/>
        </w:rPr>
      </w:pPr>
      <w:r w:rsidDel="00000000" w:rsidR="00000000" w:rsidRPr="00000000">
        <w:rPr>
          <w:rtl w:val="0"/>
        </w:rPr>
      </w:r>
    </w:p>
    <w:p w:rsidR="00000000" w:rsidDel="00000000" w:rsidP="00000000" w:rsidRDefault="00000000" w:rsidRPr="00000000" w14:paraId="00000010">
      <w:pPr>
        <w:ind w:right="357"/>
        <w:jc w:val="both"/>
        <w:rPr>
          <w:sz w:val="22"/>
          <w:szCs w:val="22"/>
          <w:highlight w:val="white"/>
        </w:rPr>
      </w:pPr>
      <w:r w:rsidDel="00000000" w:rsidR="00000000" w:rsidRPr="00000000">
        <w:rPr>
          <w:rtl w:val="0"/>
        </w:rPr>
      </w:r>
    </w:p>
    <w:p w:rsidR="00000000" w:rsidDel="00000000" w:rsidP="00000000" w:rsidRDefault="00000000" w:rsidRPr="00000000" w14:paraId="00000011">
      <w:pPr>
        <w:jc w:val="center"/>
        <w:rPr>
          <w:sz w:val="28"/>
          <w:szCs w:val="28"/>
        </w:rPr>
      </w:pPr>
      <w:r w:rsidDel="00000000" w:rsidR="00000000" w:rsidRPr="00000000">
        <w:rPr>
          <w:b w:val="1"/>
          <w:sz w:val="28"/>
          <w:szCs w:val="28"/>
          <w:rtl w:val="0"/>
        </w:rPr>
        <w:t xml:space="preserve">CONTRACT SPECIFICATION</w:t>
      </w:r>
      <w:r w:rsidDel="00000000" w:rsidR="00000000" w:rsidRPr="00000000">
        <w:rPr>
          <w:rtl w:val="0"/>
        </w:rPr>
      </w:r>
    </w:p>
    <w:p w:rsidR="00000000" w:rsidDel="00000000" w:rsidP="00000000" w:rsidRDefault="00000000" w:rsidRPr="00000000" w14:paraId="00000012">
      <w:pPr>
        <w:rPr>
          <w:b w:val="1"/>
          <w:sz w:val="22"/>
          <w:szCs w:val="22"/>
        </w:rPr>
      </w:pPr>
      <w:r w:rsidDel="00000000" w:rsidR="00000000" w:rsidRPr="00000000">
        <w:rPr>
          <w:b w:val="1"/>
          <w:sz w:val="22"/>
          <w:szCs w:val="22"/>
          <w:rtl w:val="0"/>
        </w:rPr>
        <w:t xml:space="preserve">6. </w:t>
        <w:tab/>
        <w:t xml:space="preserve">Nature of contract</w:t>
      </w:r>
    </w:p>
    <w:p w:rsidR="00000000" w:rsidDel="00000000" w:rsidP="00000000" w:rsidRDefault="00000000" w:rsidRPr="00000000" w14:paraId="00000013">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sz w:val="22"/>
          <w:szCs w:val="22"/>
          <w:rtl w:val="0"/>
        </w:rPr>
        <w:t xml:space="preserve">U</w:t>
      </w:r>
      <w:r w:rsidDel="00000000" w:rsidR="00000000" w:rsidRPr="00000000">
        <w:rPr>
          <w:color w:val="000000"/>
          <w:sz w:val="22"/>
          <w:szCs w:val="22"/>
          <w:rtl w:val="0"/>
        </w:rPr>
        <w:t xml:space="preserve">nit-price.</w:t>
      </w:r>
    </w:p>
    <w:p w:rsidR="00000000" w:rsidDel="00000000" w:rsidP="00000000" w:rsidRDefault="00000000" w:rsidRPr="00000000" w14:paraId="00000014">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b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6">
      <w:pPr>
        <w:tabs>
          <w:tab w:val="center" w:leader="none" w:pos="4320"/>
          <w:tab w:val="right" w:leader="none" w:pos="8640"/>
          <w:tab w:val="left" w:leader="none" w:pos="4092"/>
        </w:tabs>
        <w:rPr>
          <w:sz w:val="22"/>
          <w:szCs w:val="22"/>
        </w:rPr>
      </w:pPr>
      <w:bookmarkStart w:colFirst="0" w:colLast="0" w:name="_heading=h.w6laorsb63sc" w:id="1"/>
      <w:bookmarkEnd w:id="1"/>
      <w:r w:rsidDel="00000000" w:rsidR="00000000" w:rsidRPr="00000000">
        <w:rPr>
          <w:sz w:val="22"/>
          <w:szCs w:val="22"/>
          <w:rtl w:val="0"/>
        </w:rPr>
        <w:t xml:space="preserve">This contract covers the procurement and timely delivery of general consumables and office materials required for the efficient operation of the Business Center within the project EU Support to REDI Phase II: Advancing Roma Entrepreneurs in the Western Balkans and Türkiye implemented by </w:t>
      </w:r>
      <w:r w:rsidDel="00000000" w:rsidR="00000000" w:rsidRPr="00000000">
        <w:rPr>
          <w:rtl w:val="0"/>
        </w:rPr>
        <w:t xml:space="preserve">Roma Entrepreneurship development Initiative REDI Türkiye</w:t>
      </w:r>
      <w:r w:rsidDel="00000000" w:rsidR="00000000" w:rsidRPr="00000000">
        <w:rPr>
          <w:sz w:val="22"/>
          <w:szCs w:val="22"/>
          <w:rtl w:val="0"/>
        </w:rPr>
        <w:t xml:space="preserve">. </w:t>
      </w:r>
    </w:p>
    <w:p w:rsidR="00000000" w:rsidDel="00000000" w:rsidP="00000000" w:rsidRDefault="00000000" w:rsidRPr="00000000" w14:paraId="00000017">
      <w:pPr>
        <w:tabs>
          <w:tab w:val="center" w:leader="none" w:pos="4320"/>
          <w:tab w:val="right" w:leader="none" w:pos="8640"/>
          <w:tab w:val="left" w:leader="none" w:pos="4092"/>
        </w:tabs>
        <w:rPr>
          <w:sz w:val="22"/>
          <w:szCs w:val="22"/>
        </w:rPr>
      </w:pPr>
      <w:bookmarkStart w:colFirst="0" w:colLast="0" w:name="_heading=h.1cj2qhiai3a" w:id="2"/>
      <w:bookmarkEnd w:id="2"/>
      <w:r w:rsidDel="00000000" w:rsidR="00000000" w:rsidRPr="00000000">
        <w:rPr>
          <w:sz w:val="22"/>
          <w:szCs w:val="22"/>
          <w:rtl w:val="0"/>
        </w:rPr>
        <w:t xml:space="preserve">The supplier shall provide high-quality products including, but not limited to, stationery, printing paper, toner cartridges, cleaning supplies, and other daily-use office consumables. The contract encompasses the supply, packaging, transportation, and unloading of the materials at designated delivery points as specified by the purchaser. The supplier is expected to ensure continuous availability of stock, adhere to delivery schedules, comply with quality standards, and provide responsive customer service. All deliveries shall meet the specifications detailed in the technical specification of the tender and purchase orders.</w:t>
      </w:r>
      <w:r w:rsidDel="00000000" w:rsidR="00000000" w:rsidRPr="00000000">
        <w:rPr>
          <w:rtl w:val="0"/>
        </w:rPr>
      </w:r>
    </w:p>
    <w:p w:rsidR="00000000" w:rsidDel="00000000" w:rsidP="00000000" w:rsidRDefault="00000000" w:rsidRPr="00000000" w14:paraId="00000018">
      <w:pPr>
        <w:rPr>
          <w:b w:val="1"/>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1A">
      <w:pPr>
        <w:rPr>
          <w:sz w:val="22"/>
          <w:szCs w:val="22"/>
        </w:rPr>
      </w:pPr>
      <w:r w:rsidDel="00000000" w:rsidR="00000000" w:rsidRPr="00000000">
        <w:rPr>
          <w:sz w:val="22"/>
          <w:szCs w:val="22"/>
          <w:rtl w:val="0"/>
        </w:rPr>
        <w:t xml:space="preserve">This tender procedure is not divided into lots.</w:t>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rtl w:val="0"/>
        </w:rPr>
      </w:r>
    </w:p>
    <w:p w:rsidR="00000000" w:rsidDel="00000000" w:rsidP="00000000" w:rsidRDefault="00000000" w:rsidRPr="00000000" w14:paraId="0000001D">
      <w:pPr>
        <w:jc w:val="center"/>
        <w:rPr>
          <w:sz w:val="22"/>
          <w:szCs w:val="22"/>
        </w:rPr>
      </w:pPr>
      <w:r w:rsidDel="00000000" w:rsidR="00000000" w:rsidRPr="00000000">
        <w:rPr>
          <w:rtl w:val="0"/>
        </w:rPr>
      </w:r>
    </w:p>
    <w:p w:rsidR="00000000" w:rsidDel="00000000" w:rsidP="00000000" w:rsidRDefault="00000000" w:rsidRPr="00000000" w14:paraId="0000001E">
      <w:pPr>
        <w:jc w:val="center"/>
        <w:rPr>
          <w:b w:val="1"/>
          <w:sz w:val="28"/>
          <w:szCs w:val="28"/>
        </w:rPr>
      </w:pPr>
      <w:r w:rsidDel="00000000" w:rsidR="00000000" w:rsidRPr="00000000">
        <w:rPr>
          <w:b w:val="1"/>
          <w:sz w:val="28"/>
          <w:szCs w:val="28"/>
          <w:rtl w:val="0"/>
        </w:rPr>
        <w:t xml:space="preserve">CONDITIONS OF PARTICIPATION</w:t>
      </w:r>
    </w:p>
    <w:p w:rsidR="00000000" w:rsidDel="00000000" w:rsidP="00000000" w:rsidRDefault="00000000" w:rsidRPr="00000000" w14:paraId="0000001F">
      <w:pPr>
        <w:jc w:val="center"/>
        <w:rPr>
          <w:b w:val="1"/>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b w:val="1"/>
          <w:color w:val="000000"/>
          <w:sz w:val="22"/>
          <w:szCs w:val="22"/>
        </w:rPr>
      </w:pPr>
      <w:r w:rsidDel="00000000" w:rsidR="00000000" w:rsidRPr="00000000">
        <w:rPr>
          <w:b w:val="1"/>
          <w:sz w:val="22"/>
          <w:szCs w:val="22"/>
          <w:rtl w:val="0"/>
        </w:rPr>
        <w:t xml:space="preserve">9</w:t>
      </w:r>
      <w:r w:rsidDel="00000000" w:rsidR="00000000" w:rsidRPr="00000000">
        <w:rPr>
          <w:b w:val="1"/>
          <w:color w:val="000000"/>
          <w:sz w:val="22"/>
          <w:szCs w:val="22"/>
          <w:rtl w:val="0"/>
        </w:rPr>
        <w:t xml:space="preserve">. Legal basis, eligibility and rules of origin</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pacing w:after="0" w:before="0" w:lineRule="auto"/>
        <w:ind w:right="270"/>
        <w:jc w:val="both"/>
        <w:rPr>
          <w:color w:val="000000"/>
          <w:sz w:val="22"/>
          <w:szCs w:val="22"/>
        </w:rPr>
      </w:pP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The legal basis of this procedure is Regulation (EU) No 1529</w:t>
      </w:r>
      <w:r w:rsidDel="00000000" w:rsidR="00000000" w:rsidRPr="00000000">
        <w:rPr>
          <w:color w:val="000000"/>
          <w:sz w:val="22"/>
          <w:szCs w:val="22"/>
          <w:vertAlign w:val="superscript"/>
        </w:rPr>
        <w:footnoteReference w:customMarkFollows="0" w:id="0"/>
      </w:r>
      <w:r w:rsidDel="00000000" w:rsidR="00000000" w:rsidRPr="00000000">
        <w:rPr>
          <w:color w:val="000000"/>
          <w:sz w:val="22"/>
          <w:szCs w:val="22"/>
          <w:rtl w:val="0"/>
        </w:rPr>
        <w:t xml:space="preserve"> establishing the Instrument for Pre-accession Assistance (IPA III). </w:t>
      </w:r>
      <w:r w:rsidDel="00000000" w:rsidR="00000000" w:rsidRPr="00000000">
        <w:rPr>
          <w:color w:val="000000"/>
          <w:rtl w:val="0"/>
        </w:rPr>
        <w:t xml:space="preserve">See</w:t>
      </w:r>
      <w:r w:rsidDel="00000000" w:rsidR="00000000" w:rsidRPr="00000000">
        <w:rPr>
          <w:color w:val="000000"/>
          <w:sz w:val="22"/>
          <w:szCs w:val="22"/>
          <w:rtl w:val="0"/>
        </w:rPr>
        <w:t xml:space="preserve"> Annex A2 of the practical guide.</w:t>
      </w: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w:t>
      </w:r>
      <w:r w:rsidDel="00000000" w:rsidR="00000000" w:rsidRPr="00000000">
        <w:rPr>
          <w:rtl w:val="0"/>
        </w:rPr>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25">
      <w:pPr>
        <w:rPr>
          <w:sz w:val="22"/>
          <w:szCs w:val="22"/>
        </w:rPr>
      </w:pPr>
      <w:bookmarkStart w:colFirst="0" w:colLast="0" w:name="_heading=h.1fob9te" w:id="3"/>
      <w:bookmarkEnd w:id="3"/>
      <w:r w:rsidDel="00000000" w:rsidR="00000000" w:rsidRPr="00000000">
        <w:rPr>
          <w:b w:val="1"/>
          <w:sz w:val="22"/>
          <w:szCs w:val="22"/>
          <w:rtl w:val="0"/>
        </w:rPr>
        <w:t xml:space="preserve">10. </w:t>
        <w:tab/>
        <w:t xml:space="preserve">Number of tenders</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27">
      <w:pPr>
        <w:pBdr>
          <w:top w:space="0" w:sz="0" w:val="nil"/>
          <w:left w:space="0" w:sz="0" w:val="nil"/>
          <w:bottom w:space="0" w:sz="0" w:val="nil"/>
          <w:right w:space="0" w:sz="0" w:val="nil"/>
          <w:between w:space="0" w:sz="0" w:val="nil"/>
        </w:pBdr>
        <w:ind w:right="360"/>
        <w:jc w:val="both"/>
        <w:rPr>
          <w:color w:val="000000"/>
          <w:sz w:val="22"/>
          <w:szCs w:val="22"/>
        </w:rPr>
      </w:pPr>
      <w:bookmarkStart w:colFirst="0" w:colLast="0" w:name="_heading=h.3znysh7" w:id="4"/>
      <w:bookmarkEnd w:id="4"/>
      <w:r w:rsidDel="00000000" w:rsidR="00000000" w:rsidRPr="00000000">
        <w:rPr>
          <w:color w:val="000000"/>
          <w:sz w:val="22"/>
          <w:szCs w:val="22"/>
          <w:rtl w:val="0"/>
        </w:rPr>
        <w:t xml:space="preserve">The tenderer may submit a tender for one lot only, several lots or all of the lots, but only one tender per lot. Contracts will be awarded lot by lot and each lot will form a separate contract. </w:t>
      </w:r>
    </w:p>
    <w:p w:rsidR="00000000" w:rsidDel="00000000" w:rsidP="00000000" w:rsidRDefault="00000000" w:rsidRPr="00000000" w14:paraId="00000028">
      <w:pPr>
        <w:widowControl w:val="1"/>
        <w:ind w:right="26"/>
        <w:jc w:val="both"/>
        <w:rPr>
          <w:sz w:val="22"/>
          <w:szCs w:val="22"/>
        </w:rPr>
      </w:pPr>
      <w:r w:rsidDel="00000000" w:rsidR="00000000" w:rsidRPr="00000000">
        <w:rPr>
          <w:sz w:val="22"/>
          <w:szCs w:val="22"/>
          <w:rtl w:val="0"/>
        </w:rPr>
        <w:t xml:space="preserve">Any tenderer may state in its tender that it would offer a discount in the event that its tender is accepted for more than one lot.</w:t>
      </w:r>
    </w:p>
    <w:p w:rsidR="00000000" w:rsidDel="00000000" w:rsidP="00000000" w:rsidRDefault="00000000" w:rsidRPr="00000000" w14:paraId="00000029">
      <w:pPr>
        <w:rPr>
          <w:sz w:val="22"/>
          <w:szCs w:val="22"/>
        </w:rPr>
      </w:pPr>
      <w:r w:rsidDel="00000000" w:rsidR="00000000" w:rsidRPr="00000000">
        <w:rPr>
          <w:b w:val="1"/>
          <w:sz w:val="22"/>
          <w:szCs w:val="22"/>
          <w:rtl w:val="0"/>
        </w:rPr>
        <w:t xml:space="preserve">11. </w:t>
        <w:tab/>
        <w:t xml:space="preserve">Grounds for exclusion</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2B">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2C">
      <w:pPr>
        <w:rPr>
          <w:sz w:val="22"/>
          <w:szCs w:val="22"/>
        </w:rPr>
      </w:pPr>
      <w:r w:rsidDel="00000000" w:rsidR="00000000" w:rsidRPr="00000000">
        <w:rPr>
          <w:b w:val="1"/>
          <w:sz w:val="22"/>
          <w:szCs w:val="22"/>
          <w:rtl w:val="0"/>
        </w:rPr>
        <w:t xml:space="preserve">12. </w:t>
        <w:tab/>
        <w:t xml:space="preserve">Sub-contracting</w:t>
      </w: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2E">
      <w:pPr>
        <w:widowControl w:val="1"/>
        <w:spacing w:after="0" w:before="0" w:lineRule="auto"/>
        <w:rPr>
          <w:sz w:val="22"/>
          <w:szCs w:val="22"/>
        </w:rPr>
      </w:pPr>
      <w:r w:rsidDel="00000000" w:rsidR="00000000" w:rsidRPr="00000000">
        <w:rPr>
          <w:rtl w:val="0"/>
        </w:rPr>
      </w:r>
    </w:p>
    <w:p w:rsidR="00000000" w:rsidDel="00000000" w:rsidP="00000000" w:rsidRDefault="00000000" w:rsidRPr="00000000" w14:paraId="0000002F">
      <w:pPr>
        <w:keepNext w:val="1"/>
        <w:jc w:val="center"/>
        <w:rPr>
          <w:sz w:val="28"/>
          <w:szCs w:val="28"/>
        </w:rPr>
      </w:pPr>
      <w:r w:rsidDel="00000000" w:rsidR="00000000" w:rsidRPr="00000000">
        <w:rPr>
          <w:b w:val="1"/>
          <w:sz w:val="28"/>
          <w:szCs w:val="28"/>
          <w:rtl w:val="0"/>
        </w:rPr>
        <w:t xml:space="preserve">PROVISIONAL TIMETABLE</w:t>
      </w: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b w:val="1"/>
          <w:sz w:val="22"/>
          <w:szCs w:val="22"/>
          <w:rtl w:val="0"/>
        </w:rPr>
        <w:t xml:space="preserve">13. </w:t>
        <w:tab/>
        <w:t xml:space="preserve">Provisional commencement date of the contract</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ind w:left="0" w:right="360" w:firstLine="0"/>
        <w:jc w:val="both"/>
        <w:rPr>
          <w:sz w:val="22"/>
          <w:szCs w:val="22"/>
          <w:highlight w:val="white"/>
        </w:rPr>
      </w:pPr>
      <w:r w:rsidDel="00000000" w:rsidR="00000000" w:rsidRPr="00000000">
        <w:rPr>
          <w:sz w:val="22"/>
          <w:szCs w:val="22"/>
          <w:highlight w:val="white"/>
          <w:rtl w:val="0"/>
        </w:rPr>
        <w:t xml:space="preserve">15.08.2025</w:t>
      </w:r>
    </w:p>
    <w:p w:rsidR="00000000" w:rsidDel="00000000" w:rsidP="00000000" w:rsidRDefault="00000000" w:rsidRPr="00000000" w14:paraId="00000032">
      <w:pPr>
        <w:rPr>
          <w:sz w:val="22"/>
          <w:szCs w:val="22"/>
          <w:highlight w:val="white"/>
        </w:rPr>
      </w:pPr>
      <w:r w:rsidDel="00000000" w:rsidR="00000000" w:rsidRPr="00000000">
        <w:rPr>
          <w:b w:val="1"/>
          <w:sz w:val="22"/>
          <w:szCs w:val="22"/>
          <w:highlight w:val="white"/>
          <w:rtl w:val="0"/>
        </w:rPr>
        <w:t xml:space="preserve">14. </w:t>
        <w:tab/>
        <w:t xml:space="preserve">Implementation period of the tasks </w:t>
      </w:r>
      <w:r w:rsidDel="00000000" w:rsidR="00000000" w:rsidRPr="00000000">
        <w:rPr>
          <w:rtl w:val="0"/>
        </w:rPr>
      </w:r>
    </w:p>
    <w:p w:rsidR="00000000" w:rsidDel="00000000" w:rsidP="00000000" w:rsidRDefault="00000000" w:rsidRPr="00000000" w14:paraId="00000033">
      <w:pPr>
        <w:numPr>
          <w:ilvl w:val="0"/>
          <w:numId w:val="6"/>
        </w:numPr>
        <w:pBdr>
          <w:top w:space="0" w:sz="0" w:val="nil"/>
          <w:left w:space="0" w:sz="0" w:val="nil"/>
          <w:bottom w:space="0" w:sz="0" w:val="nil"/>
          <w:right w:space="0" w:sz="0" w:val="nil"/>
          <w:between w:space="0" w:sz="0" w:val="nil"/>
        </w:pBdr>
        <w:ind w:left="0" w:right="360" w:firstLine="0"/>
        <w:jc w:val="both"/>
        <w:rPr>
          <w:color w:val="000000"/>
          <w:sz w:val="22"/>
          <w:szCs w:val="22"/>
          <w:highlight w:val="white"/>
        </w:rPr>
      </w:pPr>
      <w:r w:rsidDel="00000000" w:rsidR="00000000" w:rsidRPr="00000000">
        <w:rPr>
          <w:sz w:val="22"/>
          <w:szCs w:val="22"/>
          <w:highlight w:val="white"/>
          <w:rtl w:val="0"/>
        </w:rPr>
        <w:t xml:space="preserve">15.08.2025 - 31.08.2027</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right="360"/>
        <w:jc w:val="both"/>
        <w:rPr>
          <w:sz w:val="22"/>
          <w:szCs w:val="22"/>
          <w:highlight w:val="white"/>
        </w:rPr>
      </w:pPr>
      <w:r w:rsidDel="00000000" w:rsidR="00000000" w:rsidRPr="00000000">
        <w:rPr>
          <w:rtl w:val="0"/>
        </w:rPr>
      </w:r>
    </w:p>
    <w:p w:rsidR="00000000" w:rsidDel="00000000" w:rsidP="00000000" w:rsidRDefault="00000000" w:rsidRPr="00000000" w14:paraId="00000035">
      <w:pPr>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36">
      <w:pPr>
        <w:rPr>
          <w:b w:val="1"/>
          <w:sz w:val="22"/>
          <w:szCs w:val="22"/>
        </w:rPr>
      </w:pPr>
      <w:r w:rsidDel="00000000" w:rsidR="00000000" w:rsidRPr="00000000">
        <w:rPr>
          <w:b w:val="1"/>
          <w:sz w:val="22"/>
          <w:szCs w:val="22"/>
          <w:rtl w:val="0"/>
        </w:rPr>
        <w:t xml:space="preserve">15. </w:t>
        <w:tab/>
        <w:t xml:space="preserve">Selection criteria</w:t>
      </w:r>
    </w:p>
    <w:p w:rsidR="00000000" w:rsidDel="00000000" w:rsidP="00000000" w:rsidRDefault="00000000" w:rsidRPr="00000000" w14:paraId="00000037">
      <w:pPr>
        <w:widowControl w:val="1"/>
        <w:spacing w:after="0" w:before="240" w:lineRule="auto"/>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38">
      <w:pPr>
        <w:widowControl w:val="1"/>
        <w:spacing w:after="0" w:before="240" w:lineRule="auto"/>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39">
      <w:pPr>
        <w:widowControl w:val="1"/>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3A">
      <w:pPr>
        <w:widowControl w:val="1"/>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The following selection criteria will be applied to the tenderers. In the case of tenders submitted by a consortium, these selection criteria will be applied to the consortium as a whole if not specified otherwise. The selection criteria will not be applied to natural persons and single-member companies when they are sub-contractors.</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ind w:left="0" w:right="357" w:firstLine="0"/>
        <w:jc w:val="both"/>
        <w:rPr>
          <w:color w:val="000000"/>
          <w:sz w:val="22"/>
          <w:szCs w:val="22"/>
        </w:rPr>
      </w:pPr>
      <w:r w:rsidDel="00000000" w:rsidR="00000000" w:rsidRPr="00000000">
        <w:rPr>
          <w:b w:val="1"/>
          <w:color w:val="000000"/>
          <w:sz w:val="22"/>
          <w:szCs w:val="22"/>
          <w:u w:val="single"/>
          <w:rtl w:val="0"/>
        </w:rPr>
        <w:t xml:space="preserve">Economic and financial capacity of the tenderer</w:t>
      </w:r>
      <w:r w:rsidDel="00000000" w:rsidR="00000000" w:rsidRPr="00000000">
        <w:rPr>
          <w:color w:val="000000"/>
          <w:sz w:val="22"/>
          <w:szCs w:val="22"/>
          <w:rtl w:val="0"/>
        </w:rPr>
        <w:t xml:space="preserve"> (based on item 3 of the tender form). 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3D">
      <w:pPr>
        <w:pBdr>
          <w:top w:space="0" w:sz="0" w:val="nil"/>
          <w:left w:space="0" w:sz="0" w:val="nil"/>
          <w:bottom w:space="0" w:sz="0" w:val="nil"/>
          <w:right w:space="0" w:sz="0" w:val="nil"/>
          <w:between w:space="0" w:sz="0" w:val="nil"/>
        </w:pBdr>
        <w:ind w:right="357"/>
        <w:jc w:val="both"/>
        <w:rPr>
          <w:color w:val="000000"/>
          <w:sz w:val="22"/>
          <w:szCs w:val="22"/>
        </w:rPr>
      </w:pPr>
      <w:r w:rsidDel="00000000" w:rsidR="00000000" w:rsidRPr="00000000">
        <w:rPr>
          <w:color w:val="000000"/>
          <w:sz w:val="22"/>
          <w:szCs w:val="22"/>
          <w:rtl w:val="0"/>
        </w:rPr>
        <w:t xml:space="preserve">The selection criteria for each tenderer are as follows:</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ind w:left="0" w:right="357" w:firstLine="0"/>
        <w:jc w:val="both"/>
        <w:rPr>
          <w:color w:val="000000"/>
          <w:sz w:val="22"/>
          <w:szCs w:val="22"/>
        </w:rPr>
      </w:pPr>
      <w:r w:rsidDel="00000000" w:rsidR="00000000" w:rsidRPr="00000000">
        <w:rPr>
          <w:color w:val="000000"/>
          <w:sz w:val="22"/>
          <w:szCs w:val="22"/>
          <w:rtl w:val="0"/>
        </w:rPr>
        <w:t xml:space="preserve">will not be economically dependent on the contracting authority in the event that the contract is awarded to it;</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ind w:left="0" w:right="360" w:firstLine="0"/>
        <w:jc w:val="both"/>
        <w:rPr>
          <w:color w:val="000000"/>
          <w:sz w:val="22"/>
          <w:szCs w:val="22"/>
        </w:rPr>
      </w:pPr>
      <w:r w:rsidDel="00000000" w:rsidR="00000000" w:rsidRPr="00000000">
        <w:rPr>
          <w:color w:val="000000"/>
          <w:sz w:val="22"/>
          <w:szCs w:val="22"/>
          <w:rtl w:val="0"/>
        </w:rPr>
        <w:t xml:space="preserve">has sufficient financial stability to handle the proposed contract;</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ind w:left="0" w:right="360" w:firstLine="0"/>
        <w:jc w:val="both"/>
        <w:rPr>
          <w:color w:val="000000"/>
          <w:sz w:val="22"/>
          <w:szCs w:val="22"/>
        </w:rPr>
      </w:pPr>
      <w:r w:rsidDel="00000000" w:rsidR="00000000" w:rsidRPr="00000000">
        <w:rPr>
          <w:color w:val="000000"/>
          <w:sz w:val="22"/>
          <w:szCs w:val="22"/>
          <w:rtl w:val="0"/>
        </w:rPr>
        <w:t xml:space="preserve">the average annual turnover of the tenderer for the last three financial years must exceed the annualised maximum budget of the contract i.e. the maximum budget stated in the contract notice divided by the initial contract duration in years, where this exceeds 1 year (minimum annual turnover requested may not exceed 2 times the estimated annual contract value, except in duly justified cases motivated in the tender dossier); and</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ind w:left="0" w:right="360" w:firstLine="0"/>
        <w:jc w:val="both"/>
        <w:rPr>
          <w:color w:val="000000"/>
          <w:sz w:val="22"/>
          <w:szCs w:val="22"/>
        </w:rPr>
      </w:pPr>
      <w:r w:rsidDel="00000000" w:rsidR="00000000" w:rsidRPr="00000000">
        <w:rPr>
          <w:color w:val="000000"/>
          <w:sz w:val="22"/>
          <w:szCs w:val="22"/>
          <w:rtl w:val="0"/>
        </w:rPr>
        <w:t xml:space="preserve">Current ratio (current assets/current liabilities) in the last year for which accounts have been closed must be at least 1. In case of a consortium this criterion must be fulfilled by each member.</w:t>
      </w:r>
    </w:p>
    <w:p w:rsidR="00000000" w:rsidDel="00000000" w:rsidP="00000000" w:rsidRDefault="00000000" w:rsidRPr="00000000" w14:paraId="00000042">
      <w:pPr>
        <w:pBdr>
          <w:top w:space="0" w:sz="0" w:val="nil"/>
          <w:left w:space="0" w:sz="0" w:val="nil"/>
          <w:bottom w:space="0" w:sz="0" w:val="nil"/>
          <w:right w:space="0" w:sz="0" w:val="nil"/>
          <w:between w:space="0" w:sz="0" w:val="nil"/>
        </w:pBdr>
        <w:ind w:right="357"/>
        <w:jc w:val="both"/>
        <w:rPr>
          <w:color w:val="000000"/>
          <w:sz w:val="22"/>
          <w:szCs w:val="22"/>
        </w:rPr>
      </w:pPr>
      <w:r w:rsidDel="00000000" w:rsidR="00000000" w:rsidRPr="00000000">
        <w:rPr>
          <w:b w:val="1"/>
          <w:color w:val="000000"/>
          <w:sz w:val="22"/>
          <w:szCs w:val="22"/>
          <w:u w:val="single"/>
          <w:rtl w:val="0"/>
        </w:rPr>
        <w:t xml:space="preserve">2)</w:t>
      </w:r>
      <w:r w:rsidDel="00000000" w:rsidR="00000000" w:rsidRPr="00000000">
        <w:rPr>
          <w:color w:val="000000"/>
          <w:sz w:val="22"/>
          <w:szCs w:val="22"/>
          <w:u w:val="single"/>
          <w:rtl w:val="0"/>
        </w:rPr>
        <w:tab/>
      </w:r>
      <w:r w:rsidDel="00000000" w:rsidR="00000000" w:rsidRPr="00000000">
        <w:rPr>
          <w:b w:val="1"/>
          <w:color w:val="000000"/>
          <w:sz w:val="22"/>
          <w:szCs w:val="22"/>
          <w:u w:val="single"/>
          <w:rtl w:val="0"/>
        </w:rPr>
        <w:t xml:space="preserve">Professional capacity of the tenderer</w:t>
      </w:r>
      <w:r w:rsidDel="00000000" w:rsidR="00000000" w:rsidRPr="00000000">
        <w:rPr>
          <w:color w:val="000000"/>
          <w:sz w:val="22"/>
          <w:szCs w:val="22"/>
          <w:rtl w:val="0"/>
        </w:rPr>
        <w:t xml:space="preserve"> (based on item 4 of the tender form).</w:t>
      </w:r>
    </w:p>
    <w:p w:rsidR="00000000" w:rsidDel="00000000" w:rsidP="00000000" w:rsidRDefault="00000000" w:rsidRPr="00000000" w14:paraId="00000043">
      <w:pPr>
        <w:pBdr>
          <w:top w:space="0" w:sz="0" w:val="nil"/>
          <w:left w:space="0" w:sz="0" w:val="nil"/>
          <w:bottom w:space="0" w:sz="0" w:val="nil"/>
          <w:right w:space="0" w:sz="0" w:val="nil"/>
          <w:between w:space="0" w:sz="0" w:val="nil"/>
        </w:pBdr>
        <w:ind w:right="357"/>
        <w:jc w:val="both"/>
        <w:rPr>
          <w:b w:val="1"/>
          <w:sz w:val="22"/>
          <w:szCs w:val="22"/>
        </w:rPr>
      </w:pPr>
      <w:r w:rsidDel="00000000" w:rsidR="00000000" w:rsidRPr="00000000">
        <w:rPr>
          <w:color w:val="000000"/>
          <w:sz w:val="22"/>
          <w:szCs w:val="22"/>
          <w:rtl w:val="0"/>
        </w:rPr>
        <w:t xml:space="preserve">The reference period which will be taken into account will be the last three years preceding the submission deadline</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ind w:right="357"/>
        <w:jc w:val="both"/>
        <w:rPr>
          <w:color w:val="000000"/>
          <w:sz w:val="22"/>
          <w:szCs w:val="22"/>
        </w:rPr>
      </w:pPr>
      <w:r w:rsidDel="00000000" w:rsidR="00000000" w:rsidRPr="00000000">
        <w:rPr>
          <w:color w:val="000000"/>
          <w:sz w:val="22"/>
          <w:szCs w:val="22"/>
          <w:rtl w:val="0"/>
        </w:rPr>
        <w:t xml:space="preserve">The objective of this criterion is to examine whether or not the tenderer (i.e. the consortium as a whole, in the case of a tenderer from a consortium) has sufficient ongoing staff resources and expertise to be able to handle the proposed contract.</w:t>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ind w:left="0" w:right="360" w:firstLine="0"/>
        <w:jc w:val="both"/>
        <w:rPr>
          <w:color w:val="000000"/>
          <w:sz w:val="22"/>
          <w:szCs w:val="22"/>
        </w:rPr>
      </w:pPr>
      <w:r w:rsidDel="00000000" w:rsidR="00000000" w:rsidRPr="00000000">
        <w:rPr>
          <w:color w:val="000000"/>
          <w:sz w:val="22"/>
          <w:szCs w:val="22"/>
          <w:rtl w:val="0"/>
        </w:rPr>
        <w:t xml:space="preserve">at least two staff members currently work for the tenderer in fields related to this contract.</w:t>
      </w:r>
    </w:p>
    <w:p w:rsidR="00000000" w:rsidDel="00000000" w:rsidP="00000000" w:rsidRDefault="00000000" w:rsidRPr="00000000" w14:paraId="00000046">
      <w:pPr>
        <w:pBdr>
          <w:top w:space="0" w:sz="0" w:val="nil"/>
          <w:left w:space="0" w:sz="0" w:val="nil"/>
          <w:bottom w:space="0" w:sz="0" w:val="nil"/>
          <w:right w:space="0" w:sz="0" w:val="nil"/>
          <w:between w:space="0" w:sz="0" w:val="nil"/>
        </w:pBdr>
        <w:ind w:right="357"/>
        <w:jc w:val="both"/>
        <w:rPr>
          <w:color w:val="000000"/>
          <w:sz w:val="22"/>
          <w:szCs w:val="22"/>
        </w:rPr>
      </w:pPr>
      <w:r w:rsidDel="00000000" w:rsidR="00000000" w:rsidRPr="00000000">
        <w:rPr>
          <w:b w:val="1"/>
          <w:color w:val="000000"/>
          <w:sz w:val="22"/>
          <w:szCs w:val="22"/>
          <w:u w:val="single"/>
          <w:rtl w:val="0"/>
        </w:rPr>
        <w:t xml:space="preserve">3)</w:t>
        <w:tab/>
        <w:t xml:space="preserve">Technical capacity of tenderer</w:t>
      </w:r>
      <w:r w:rsidDel="00000000" w:rsidR="00000000" w:rsidRPr="00000000">
        <w:rPr>
          <w:color w:val="000000"/>
          <w:sz w:val="22"/>
          <w:szCs w:val="22"/>
          <w:rtl w:val="0"/>
        </w:rPr>
        <w:t xml:space="preserve"> (based on items 5 and 6 of the tender form). The reference period which will be taken into account will be the last three years preceding the submission deadline.</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tabs>
          <w:tab w:val="left" w:leader="none" w:pos="709"/>
        </w:tabs>
        <w:ind w:left="0" w:right="360" w:firstLine="0"/>
        <w:jc w:val="both"/>
        <w:rPr>
          <w:color w:val="000000"/>
          <w:sz w:val="22"/>
          <w:szCs w:val="22"/>
        </w:rPr>
      </w:pPr>
      <w:r w:rsidDel="00000000" w:rsidR="00000000" w:rsidRPr="00000000">
        <w:rPr>
          <w:color w:val="000000"/>
          <w:sz w:val="22"/>
          <w:szCs w:val="22"/>
          <w:rtl w:val="0"/>
        </w:rPr>
        <w:t xml:space="preserve">The tenderer has delivered supplies under at l</w:t>
      </w:r>
      <w:r w:rsidDel="00000000" w:rsidR="00000000" w:rsidRPr="00000000">
        <w:rPr>
          <w:sz w:val="22"/>
          <w:szCs w:val="22"/>
          <w:rtl w:val="0"/>
        </w:rPr>
        <w:t xml:space="preserve">east five co</w:t>
      </w:r>
      <w:r w:rsidDel="00000000" w:rsidR="00000000" w:rsidRPr="00000000">
        <w:rPr>
          <w:color w:val="000000"/>
          <w:sz w:val="22"/>
          <w:szCs w:val="22"/>
          <w:rtl w:val="0"/>
        </w:rPr>
        <w:t xml:space="preserve">ntracts each with a budget of at least that of this contract </w:t>
      </w:r>
      <w:r w:rsidDel="00000000" w:rsidR="00000000" w:rsidRPr="00000000">
        <w:rPr>
          <w:b w:val="1"/>
          <w:color w:val="000000"/>
          <w:sz w:val="22"/>
          <w:szCs w:val="22"/>
          <w:rtl w:val="0"/>
        </w:rPr>
        <w:t xml:space="preserve">in sale of </w:t>
      </w:r>
      <w:r w:rsidDel="00000000" w:rsidR="00000000" w:rsidRPr="00000000">
        <w:rPr>
          <w:b w:val="1"/>
          <w:sz w:val="22"/>
          <w:szCs w:val="22"/>
          <w:rtl w:val="0"/>
        </w:rPr>
        <w:t xml:space="preserve">Consumables and Office Materials</w:t>
      </w:r>
      <w:r w:rsidDel="00000000" w:rsidR="00000000" w:rsidRPr="00000000">
        <w:rPr>
          <w:color w:val="000000"/>
          <w:sz w:val="22"/>
          <w:szCs w:val="22"/>
          <w:rtl w:val="0"/>
        </w:rPr>
        <w:t xml:space="preserve"> which were implemented at any moment during the following period:</w:t>
      </w:r>
      <w:r w:rsidDel="00000000" w:rsidR="00000000" w:rsidRPr="00000000">
        <w:rPr>
          <w:color w:val="980000"/>
          <w:sz w:val="22"/>
          <w:szCs w:val="22"/>
          <w:rtl w:val="0"/>
        </w:rPr>
        <w:t xml:space="preserve"> </w:t>
      </w:r>
      <w:r w:rsidDel="00000000" w:rsidR="00000000" w:rsidRPr="00000000">
        <w:rPr>
          <w:sz w:val="22"/>
          <w:szCs w:val="22"/>
          <w:rtl w:val="0"/>
        </w:rPr>
        <w:t xml:space="preserve">last</w:t>
      </w:r>
      <w:r w:rsidDel="00000000" w:rsidR="00000000" w:rsidRPr="00000000">
        <w:rPr>
          <w:sz w:val="22"/>
          <w:szCs w:val="22"/>
          <w:highlight w:val="white"/>
          <w:rtl w:val="0"/>
        </w:rPr>
        <w:t xml:space="preserve"> </w:t>
      </w:r>
      <w:r w:rsidDel="00000000" w:rsidR="00000000" w:rsidRPr="00000000">
        <w:rPr>
          <w:b w:val="1"/>
          <w:sz w:val="22"/>
          <w:szCs w:val="22"/>
          <w:highlight w:val="white"/>
          <w:rtl w:val="0"/>
        </w:rPr>
        <w:t xml:space="preserve">3 years.</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284"/>
        </w:tabs>
        <w:ind w:right="360"/>
        <w:jc w:val="both"/>
        <w:rPr>
          <w:color w:val="000000"/>
          <w:sz w:val="22"/>
          <w:szCs w:val="22"/>
        </w:rPr>
      </w:pPr>
      <w:r w:rsidDel="00000000" w:rsidR="00000000" w:rsidRPr="00000000">
        <w:rPr>
          <w:color w:val="000000"/>
          <w:sz w:val="22"/>
          <w:szCs w:val="22"/>
          <w:rtl w:val="0"/>
        </w:rPr>
        <w:t xml:space="preserve">This means that the contract the tenderer refers to could have been started at any time during the indicated period but it does not necessarily have to be completed during that period, nor implemented during the entire period. Tenderers are allowed to refer either to supply contracts completed within the reference period (although started earlier) or to supply contracts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tenderer has implemented the supply contract in a consortium, the percentage that the tenderer has successfully completed must be clear from the documentary evidence, together with a description of the nature of the supplies provided if the selection criteria relating to the pertinence of the experience have been used.</w:t>
      </w:r>
    </w:p>
    <w:p w:rsidR="00000000" w:rsidDel="00000000" w:rsidP="00000000" w:rsidRDefault="00000000" w:rsidRPr="00000000" w14:paraId="00000049">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Previous experience which would have led to breach of contract and termination by a contracting authority shall not be used as reference. </w:t>
      </w:r>
    </w:p>
    <w:p w:rsidR="00000000" w:rsidDel="00000000" w:rsidP="00000000" w:rsidRDefault="00000000" w:rsidRPr="00000000" w14:paraId="0000004A">
      <w:pPr>
        <w:pBdr>
          <w:top w:space="0" w:sz="0" w:val="nil"/>
          <w:left w:space="0" w:sz="0" w:val="nil"/>
          <w:bottom w:space="0" w:sz="0" w:val="nil"/>
          <w:right w:space="0" w:sz="0" w:val="nil"/>
          <w:between w:space="0" w:sz="0" w:val="nil"/>
        </w:pBdr>
        <w:ind w:right="360"/>
        <w:jc w:val="both"/>
        <w:rPr>
          <w:sz w:val="22"/>
          <w:szCs w:val="22"/>
        </w:rPr>
      </w:pPr>
      <w:r w:rsidDel="00000000" w:rsidR="00000000" w:rsidRPr="00000000">
        <w:rPr>
          <w:rtl w:val="0"/>
        </w:rPr>
      </w:r>
    </w:p>
    <w:p w:rsidR="00000000" w:rsidDel="00000000" w:rsidP="00000000" w:rsidRDefault="00000000" w:rsidRPr="00000000" w14:paraId="0000004B">
      <w:pPr>
        <w:rPr>
          <w:sz w:val="22"/>
          <w:szCs w:val="22"/>
        </w:rPr>
      </w:pPr>
      <w:r w:rsidDel="00000000" w:rsidR="00000000" w:rsidRPr="00000000">
        <w:rPr>
          <w:b w:val="1"/>
          <w:sz w:val="22"/>
          <w:szCs w:val="22"/>
          <w:rtl w:val="0"/>
        </w:rPr>
        <w:t xml:space="preserve">16. </w:t>
        <w:tab/>
        <w:t xml:space="preserve">Award criteria</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right="1"/>
        <w:jc w:val="both"/>
        <w:rPr>
          <w:color w:val="000000"/>
          <w:sz w:val="22"/>
          <w:szCs w:val="22"/>
        </w:rPr>
      </w:pPr>
      <w:r w:rsidDel="00000000" w:rsidR="00000000" w:rsidRPr="00000000">
        <w:rPr>
          <w:sz w:val="22"/>
          <w:szCs w:val="22"/>
          <w:rtl w:val="0"/>
        </w:rPr>
        <w:t xml:space="preserve">Price.</w:t>
      </w:r>
      <w:r w:rsidDel="00000000" w:rsidR="00000000" w:rsidRPr="00000000">
        <w:rPr>
          <w:color w:val="000000"/>
          <w:sz w:val="22"/>
          <w:szCs w:val="22"/>
          <w:rtl w:val="0"/>
        </w:rPr>
        <w:t xml:space="preserve"> </w:t>
      </w:r>
    </w:p>
    <w:p w:rsidR="00000000" w:rsidDel="00000000" w:rsidP="00000000" w:rsidRDefault="00000000" w:rsidRPr="00000000" w14:paraId="0000004D">
      <w:pPr>
        <w:rPr>
          <w:sz w:val="22"/>
          <w:szCs w:val="22"/>
        </w:rPr>
      </w:pPr>
      <w:r w:rsidDel="00000000" w:rsidR="00000000" w:rsidRPr="00000000">
        <w:rPr>
          <w:rtl w:val="0"/>
        </w:rPr>
      </w:r>
    </w:p>
    <w:p w:rsidR="00000000" w:rsidDel="00000000" w:rsidP="00000000" w:rsidRDefault="00000000" w:rsidRPr="00000000" w14:paraId="0000004E">
      <w:pPr>
        <w:keepNext w:val="1"/>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4F">
      <w:pPr>
        <w:keepNext w:val="1"/>
        <w:rPr>
          <w:sz w:val="22"/>
          <w:szCs w:val="22"/>
        </w:rPr>
      </w:pPr>
      <w:r w:rsidDel="00000000" w:rsidR="00000000" w:rsidRPr="00000000">
        <w:rPr>
          <w:b w:val="1"/>
          <w:sz w:val="22"/>
          <w:szCs w:val="22"/>
          <w:rtl w:val="0"/>
        </w:rPr>
        <w:t xml:space="preserve">17. </w:t>
        <w:tab/>
        <w:t xml:space="preserve">Deadline for submission of tenders</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right="360"/>
        <w:jc w:val="both"/>
        <w:rPr>
          <w:b w:val="1"/>
          <w:i w:val="1"/>
          <w:highlight w:val="white"/>
        </w:rPr>
      </w:pPr>
      <w:bookmarkStart w:colFirst="0" w:colLast="0" w:name="_heading=h.2et92p0" w:id="5"/>
      <w:bookmarkEnd w:id="5"/>
      <w:r w:rsidDel="00000000" w:rsidR="00000000" w:rsidRPr="00000000">
        <w:rPr>
          <w:color w:val="000000"/>
          <w:sz w:val="22"/>
          <w:szCs w:val="22"/>
          <w:rtl w:val="0"/>
        </w:rPr>
        <w:t xml:space="preserve">The deadline for submission of tenders is </w:t>
      </w:r>
      <w:r w:rsidDel="00000000" w:rsidR="00000000" w:rsidRPr="00000000">
        <w:rPr>
          <w:sz w:val="22"/>
          <w:szCs w:val="22"/>
          <w:highlight w:val="white"/>
          <w:rtl w:val="0"/>
        </w:rPr>
        <w:t xml:space="preserve">30 days from the date of publishing. If the deadline is a non-working day, the period will be extended until the next working day.</w:t>
      </w:r>
      <w:r w:rsidDel="00000000" w:rsidR="00000000" w:rsidRPr="00000000">
        <w:rPr>
          <w:rtl w:val="0"/>
        </w:rPr>
      </w:r>
    </w:p>
    <w:p w:rsidR="00000000" w:rsidDel="00000000" w:rsidP="00000000" w:rsidRDefault="00000000" w:rsidRPr="00000000" w14:paraId="00000051">
      <w:pPr>
        <w:rPr>
          <w:sz w:val="22"/>
          <w:szCs w:val="22"/>
        </w:rPr>
      </w:pPr>
      <w:r w:rsidDel="00000000" w:rsidR="00000000" w:rsidRPr="00000000">
        <w:rPr>
          <w:b w:val="1"/>
          <w:sz w:val="22"/>
          <w:szCs w:val="22"/>
          <w:rtl w:val="0"/>
        </w:rPr>
        <w:t xml:space="preserve">18. </w:t>
        <w:tab/>
        <w:t xml:space="preserve">Tender format and details to be provided</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Tenders must be submitted using the standard tender form. </w:t>
      </w:r>
    </w:p>
    <w:p w:rsidR="00000000" w:rsidDel="00000000" w:rsidP="00000000" w:rsidRDefault="00000000" w:rsidRPr="00000000" w14:paraId="00000053">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54">
      <w:pPr>
        <w:pBdr>
          <w:top w:space="0" w:sz="0" w:val="nil"/>
          <w:left w:space="0" w:sz="0" w:val="nil"/>
          <w:bottom w:space="0" w:sz="0" w:val="nil"/>
          <w:right w:space="0" w:sz="0" w:val="nil"/>
          <w:between w:space="0" w:sz="0" w:val="nil"/>
        </w:pBdr>
        <w:ind w:right="360"/>
        <w:jc w:val="both"/>
        <w:rPr>
          <w:color w:val="000000"/>
          <w:sz w:val="22"/>
          <w:szCs w:val="22"/>
        </w:rPr>
      </w:pPr>
      <w:hyperlink r:id="rId8">
        <w:r w:rsidDel="00000000" w:rsidR="00000000" w:rsidRPr="00000000">
          <w:rPr>
            <w:color w:val="0000ff"/>
            <w:sz w:val="22"/>
            <w:szCs w:val="22"/>
            <w:u w:val="single"/>
            <w:rtl w:val="0"/>
          </w:rPr>
          <w:t xml:space="preserve">https://wikis.ec.europa.eu/download/attachments/152798822/a14a_declaration_honour_procurement_en.docx?version=2&amp;modificationDate=1737021464378&amp;api=v2</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Any additional documentation (brochure, letter, etc.) sent with a tender will not be taken into consideration.</w:t>
      </w:r>
    </w:p>
    <w:p w:rsidR="00000000" w:rsidDel="00000000" w:rsidP="00000000" w:rsidRDefault="00000000" w:rsidRPr="00000000" w14:paraId="00000056">
      <w:pPr>
        <w:rPr>
          <w:sz w:val="22"/>
          <w:szCs w:val="22"/>
        </w:rPr>
      </w:pPr>
      <w:r w:rsidDel="00000000" w:rsidR="00000000" w:rsidRPr="00000000">
        <w:rPr>
          <w:b w:val="1"/>
          <w:sz w:val="22"/>
          <w:szCs w:val="22"/>
          <w:rtl w:val="0"/>
        </w:rPr>
        <w:t xml:space="preserve">19. </w:t>
        <w:tab/>
        <w:t xml:space="preserve">How tenders may be submitted</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Tenders must be submitted in English exclusively to the contracting authority, using the means specified in point 10 of the instructions to tenderers.  </w:t>
      </w:r>
    </w:p>
    <w:p w:rsidR="00000000" w:rsidDel="00000000" w:rsidP="00000000" w:rsidRDefault="00000000" w:rsidRPr="00000000" w14:paraId="00000058">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Tenders submitted by any other means will not be considered.</w:t>
      </w:r>
    </w:p>
    <w:p w:rsidR="00000000" w:rsidDel="00000000" w:rsidP="00000000" w:rsidRDefault="00000000" w:rsidRPr="00000000" w14:paraId="00000059">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By submitting a </w:t>
      </w:r>
      <w:r w:rsidDel="00000000" w:rsidR="00000000" w:rsidRPr="00000000">
        <w:rPr>
          <w:sz w:val="22"/>
          <w:szCs w:val="22"/>
          <w:rtl w:val="0"/>
        </w:rPr>
        <w:t xml:space="preserve">tender, the tenderer</w:t>
      </w:r>
      <w:r w:rsidDel="00000000" w:rsidR="00000000" w:rsidRPr="00000000">
        <w:rPr>
          <w:color w:val="000000"/>
          <w:sz w:val="22"/>
          <w:szCs w:val="22"/>
          <w:rtl w:val="0"/>
        </w:rPr>
        <w:t xml:space="preserve"> accepts to receive notification of the outcome of the procedure by electronic means.</w:t>
      </w:r>
    </w:p>
    <w:p w:rsidR="00000000" w:rsidDel="00000000" w:rsidP="00000000" w:rsidRDefault="00000000" w:rsidRPr="00000000" w14:paraId="0000005A">
      <w:pPr>
        <w:rPr>
          <w:b w:val="1"/>
          <w:sz w:val="22"/>
          <w:szCs w:val="22"/>
        </w:rPr>
      </w:pPr>
      <w:r w:rsidDel="00000000" w:rsidR="00000000" w:rsidRPr="00000000">
        <w:rPr>
          <w:b w:val="1"/>
          <w:sz w:val="22"/>
          <w:szCs w:val="22"/>
          <w:rtl w:val="0"/>
        </w:rPr>
        <w:t xml:space="preserve">20.</w:t>
        <w:tab/>
        <w:t xml:space="preserve">Alteration or withdrawal of tenders</w:t>
      </w:r>
    </w:p>
    <w:p w:rsidR="00000000" w:rsidDel="00000000" w:rsidP="00000000" w:rsidRDefault="00000000" w:rsidRPr="00000000" w14:paraId="0000005B">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5C">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color w:val="000000"/>
          <w:sz w:val="22"/>
          <w:szCs w:val="22"/>
          <w:rtl w:val="0"/>
        </w:rPr>
        <w:t xml:space="preserve">Any such notification of alteration or withdrawal shall be prepared and submitted in accordance with point 15 of the instructions to tenderers. </w:t>
      </w:r>
    </w:p>
    <w:p w:rsidR="00000000" w:rsidDel="00000000" w:rsidP="00000000" w:rsidRDefault="00000000" w:rsidRPr="00000000" w14:paraId="0000005D">
      <w:pPr>
        <w:keepNext w:val="1"/>
        <w:rPr>
          <w:sz w:val="22"/>
          <w:szCs w:val="22"/>
        </w:rPr>
      </w:pPr>
      <w:r w:rsidDel="00000000" w:rsidR="00000000" w:rsidRPr="00000000">
        <w:rPr>
          <w:b w:val="1"/>
          <w:sz w:val="22"/>
          <w:szCs w:val="22"/>
          <w:rtl w:val="0"/>
        </w:rPr>
        <w:t xml:space="preserve">21. </w:t>
        <w:tab/>
        <w:t xml:space="preserve">Operational language</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right="360"/>
        <w:jc w:val="both"/>
        <w:rPr>
          <w:i w:val="1"/>
          <w:color w:val="000000"/>
          <w:sz w:val="22"/>
          <w:szCs w:val="22"/>
        </w:rPr>
      </w:pPr>
      <w:r w:rsidDel="00000000" w:rsidR="00000000" w:rsidRPr="00000000">
        <w:rPr>
          <w:color w:val="000000"/>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ind w:right="360"/>
        <w:jc w:val="both"/>
        <w:rPr>
          <w:b w:val="1"/>
          <w:color w:val="000000"/>
          <w:sz w:val="22"/>
          <w:szCs w:val="22"/>
        </w:rPr>
      </w:pPr>
      <w:r w:rsidDel="00000000" w:rsidR="00000000" w:rsidRPr="00000000">
        <w:rPr>
          <w:b w:val="1"/>
          <w:color w:val="000000"/>
          <w:sz w:val="22"/>
          <w:szCs w:val="22"/>
          <w:rtl w:val="0"/>
        </w:rPr>
        <w:t xml:space="preserve">2</w:t>
      </w:r>
      <w:r w:rsidDel="00000000" w:rsidR="00000000" w:rsidRPr="00000000">
        <w:rPr>
          <w:b w:val="1"/>
          <w:sz w:val="22"/>
          <w:szCs w:val="22"/>
          <w:rtl w:val="0"/>
        </w:rPr>
        <w:t xml:space="preserve">2</w:t>
      </w:r>
      <w:r w:rsidDel="00000000" w:rsidR="00000000" w:rsidRPr="00000000">
        <w:rPr>
          <w:b w:val="1"/>
          <w:color w:val="000000"/>
          <w:sz w:val="22"/>
          <w:szCs w:val="22"/>
          <w:rtl w:val="0"/>
        </w:rPr>
        <w:t xml:space="preserve">. Additional information</w:t>
      </w:r>
    </w:p>
    <w:p w:rsidR="00000000" w:rsidDel="00000000" w:rsidP="00000000" w:rsidRDefault="00000000" w:rsidRPr="00000000" w14:paraId="00000060">
      <w:pPr>
        <w:widowControl w:val="1"/>
        <w:spacing w:after="0" w:lineRule="auto"/>
        <w:ind w:right="360"/>
        <w:jc w:val="both"/>
        <w:rPr>
          <w:sz w:val="22"/>
          <w:szCs w:val="22"/>
        </w:rPr>
      </w:pPr>
      <w:r w:rsidDel="00000000" w:rsidR="00000000" w:rsidRPr="00000000">
        <w:rPr>
          <w:sz w:val="22"/>
          <w:szCs w:val="22"/>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the month and year corresponding to the deadline for submitting applications, which can be found at the following address: </w:t>
      </w:r>
      <w:hyperlink r:id="rId9">
        <w:r w:rsidDel="00000000" w:rsidR="00000000" w:rsidRPr="00000000">
          <w:rPr>
            <w:color w:val="0000ff"/>
            <w:sz w:val="22"/>
            <w:szCs w:val="22"/>
            <w:u w:val="single"/>
            <w:rtl w:val="0"/>
          </w:rPr>
          <w:t xml:space="preserve">http://ec.europa.eu/budget/graphs/inforeuro.html</w:t>
        </w:r>
      </w:hyperlink>
      <w:r w:rsidDel="00000000" w:rsidR="00000000" w:rsidRPr="00000000">
        <w:rPr>
          <w:sz w:val="22"/>
          <w:szCs w:val="22"/>
          <w:rtl w:val="0"/>
        </w:rPr>
        <w:t xml:space="preserve">.</w:t>
      </w:r>
    </w:p>
    <w:p w:rsidR="00000000" w:rsidDel="00000000" w:rsidP="00000000" w:rsidRDefault="00000000" w:rsidRPr="00000000" w14:paraId="00000061">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rtl w:val="0"/>
        </w:rPr>
      </w:r>
    </w:p>
    <w:sectPr>
      <w:footerReference r:id="rId10" w:type="default"/>
      <w:pgSz w:h="15840" w:w="12240" w:orient="portrait"/>
      <w:pgMar w:bottom="1276" w:top="709" w:left="1134"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color w:val="000000"/>
      </w:rPr>
    </w:pPr>
    <w:r w:rsidDel="00000000" w:rsidR="00000000" w:rsidRPr="00000000">
      <w:rPr>
        <w:color w:val="000000"/>
        <w:sz w:val="18"/>
        <w:szCs w:val="18"/>
        <w:rtl w:val="0"/>
      </w:rPr>
      <w:t xml:space="preserve">c2_contractnotice_simp_neg_en.doc</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before="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Regulation (EU) 2021/1529 of the European Parliament and of the Council of 15 September 2021 establishing the Instrument for Pre-Accession assistance (IPA III); OJ L 330, 20.9.2021, p. 1–26.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17" w:hanging="360"/>
      </w:pPr>
      <w:rPr>
        <w:b w:val="1"/>
        <w:u w:val="singl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spacing w:after="100" w:before="1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Vurgu">
    <w:name w:val="Emphasis"/>
    <w:uiPriority w:val="20"/>
    <w:qFormat w:val="1"/>
    <w:rPr>
      <w:i w:val="1"/>
    </w:rPr>
  </w:style>
  <w:style w:type="character" w:styleId="Kpr">
    <w:name w:val="Hyperlink"/>
    <w:rPr>
      <w:color w:val="0000ff"/>
      <w:u w:val="single"/>
    </w:rPr>
  </w:style>
  <w:style w:type="character" w:styleId="zlenenKpr">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FormunAlt">
    <w:name w:val="HTML Bottom of Form"/>
    <w:next w:val="Normal"/>
    <w:hidden w:val="1"/>
    <w:pPr>
      <w:pBdr>
        <w:top w:color="000000" w:space="0" w:sz="2" w:val="double"/>
      </w:pBdr>
      <w:jc w:val="center"/>
    </w:pPr>
    <w:rPr>
      <w:rFonts w:ascii="Arial" w:hAnsi="Arial"/>
      <w:snapToGrid w:val="0"/>
      <w:vanish w:val="1"/>
      <w:sz w:val="16"/>
      <w:lang w:eastAsia="en-US"/>
    </w:rPr>
  </w:style>
  <w:style w:type="paragraph" w:styleId="z-Formunst">
    <w:name w:val="HTML Top of Form"/>
    <w:next w:val="Normal"/>
    <w:hidden w:val="1"/>
    <w:pPr>
      <w:pBdr>
        <w:bottom w:color="000000" w:space="0" w:sz="2" w:val="double"/>
      </w:pBdr>
      <w:jc w:val="center"/>
    </w:pPr>
    <w:rPr>
      <w:rFonts w:ascii="Arial" w:hAnsi="Arial"/>
      <w:snapToGrid w:val="0"/>
      <w:vanish w:val="1"/>
      <w:sz w:val="16"/>
      <w:lang w:eastAsia="en-US"/>
    </w:rPr>
  </w:style>
  <w:style w:type="character" w:styleId="Sample" w:customStyle="1">
    <w:name w:val="Sample"/>
    <w:rPr>
      <w:rFonts w:ascii="Courier New" w:hAnsi="Courier New"/>
    </w:rPr>
  </w:style>
  <w:style w:type="character" w:styleId="Gl">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BelgeBalantlar">
    <w:name w:val="Document Map"/>
    <w:basedOn w:val="Normal"/>
    <w:semiHidden w:val="1"/>
    <w:pPr>
      <w:shd w:color="auto" w:fill="000080" w:val="clear"/>
    </w:pPr>
    <w:rPr>
      <w:rFonts w:ascii="Tahoma" w:hAnsi="Tahoma"/>
    </w:rPr>
  </w:style>
  <w:style w:type="paragraph" w:styleId="stBilgi">
    <w:name w:val="header"/>
    <w:basedOn w:val="Normal"/>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rsid w:val="007F095B"/>
  </w:style>
  <w:style w:type="paragraph" w:styleId="GvdeMetni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lang w:val="en-GB"/>
    </w:rPr>
  </w:style>
  <w:style w:type="paragraph" w:styleId="DipnotMetni">
    <w:name w:val="footnote text"/>
    <w:basedOn w:val="Normal"/>
    <w:link w:val="DipnotMetniChar"/>
    <w:uiPriority w:val="99"/>
    <w:rsid w:val="001951FE"/>
    <w:rPr>
      <w:sz w:val="20"/>
    </w:rPr>
  </w:style>
  <w:style w:type="character" w:styleId="DipnotBavurusu">
    <w:name w:val="footnote reference"/>
    <w:uiPriority w:val="99"/>
    <w:qFormat w:val="1"/>
    <w:rsid w:val="001951FE"/>
    <w:rPr>
      <w:vertAlign w:val="superscript"/>
    </w:rPr>
  </w:style>
  <w:style w:type="character" w:styleId="AltBilgiChar" w:customStyle="1">
    <w:name w:val="Alt Bilgi Char"/>
    <w:link w:val="AltBilgi"/>
    <w:rsid w:val="007727F3"/>
    <w:rPr>
      <w:snapToGrid w:val="0"/>
      <w:sz w:val="24"/>
      <w:lang w:eastAsia="en-US" w:val="en-US"/>
    </w:rPr>
  </w:style>
  <w:style w:type="paragraph" w:styleId="BalonMetni">
    <w:name w:val="Balloon Text"/>
    <w:basedOn w:val="Normal"/>
    <w:link w:val="BalonMetniChar"/>
    <w:rsid w:val="00D240C3"/>
    <w:pPr>
      <w:spacing w:after="0" w:before="0"/>
    </w:pPr>
    <w:rPr>
      <w:rFonts w:ascii="Tahoma" w:cs="Tahoma" w:hAnsi="Tahoma"/>
      <w:sz w:val="16"/>
      <w:szCs w:val="16"/>
    </w:rPr>
  </w:style>
  <w:style w:type="character" w:styleId="BalonMetniChar" w:customStyle="1">
    <w:name w:val="Balon Metni Char"/>
    <w:link w:val="BalonMetni"/>
    <w:rsid w:val="00D240C3"/>
    <w:rPr>
      <w:rFonts w:ascii="Tahoma" w:cs="Tahoma" w:hAnsi="Tahoma"/>
      <w:snapToGrid w:val="0"/>
      <w:sz w:val="16"/>
      <w:szCs w:val="16"/>
      <w:lang w:eastAsia="en-US" w:val="en-US"/>
    </w:rPr>
  </w:style>
  <w:style w:type="character" w:styleId="AklamaBavurusu">
    <w:name w:val="annotation reference"/>
    <w:rsid w:val="009B69BE"/>
    <w:rPr>
      <w:sz w:val="16"/>
      <w:szCs w:val="16"/>
    </w:rPr>
  </w:style>
  <w:style w:type="paragraph" w:styleId="AklamaMetni">
    <w:name w:val="annotation text"/>
    <w:basedOn w:val="Normal"/>
    <w:link w:val="AklamaMetniChar"/>
    <w:rsid w:val="009B69BE"/>
    <w:rPr>
      <w:sz w:val="20"/>
    </w:rPr>
  </w:style>
  <w:style w:type="character" w:styleId="AklamaMetniChar" w:customStyle="1">
    <w:name w:val="Açıklama Metni Char"/>
    <w:link w:val="AklamaMetni"/>
    <w:rsid w:val="009B69BE"/>
    <w:rPr>
      <w:snapToGrid w:val="0"/>
      <w:lang w:eastAsia="en-US" w:val="en-US"/>
    </w:rPr>
  </w:style>
  <w:style w:type="paragraph" w:styleId="AklamaKonusu">
    <w:name w:val="annotation subject"/>
    <w:basedOn w:val="AklamaMetni"/>
    <w:next w:val="AklamaMetni"/>
    <w:link w:val="AklamaKonusuChar"/>
    <w:rsid w:val="009B69BE"/>
    <w:rPr>
      <w:b w:val="1"/>
      <w:bCs w:val="1"/>
    </w:rPr>
  </w:style>
  <w:style w:type="character" w:styleId="AklamaKonusuChar" w:customStyle="1">
    <w:name w:val="Açıklama Konusu Char"/>
    <w:link w:val="AklamaKonusu"/>
    <w:rsid w:val="009B69BE"/>
    <w:rPr>
      <w:b w:val="1"/>
      <w:bCs w:val="1"/>
      <w:snapToGrid w:val="0"/>
      <w:lang w:eastAsia="en-US" w:val="en-US"/>
    </w:rPr>
  </w:style>
  <w:style w:type="paragraph" w:styleId="PRAGHeading2" w:customStyle="1">
    <w:name w:val="PRAG Heading 2"/>
    <w:basedOn w:val="Normal"/>
    <w:rsid w:val="00971962"/>
    <w:pPr>
      <w:numPr>
        <w:numId w:val="8"/>
      </w:numPr>
    </w:pPr>
  </w:style>
  <w:style w:type="character" w:styleId="AltyazChar" w:customStyle="1">
    <w:name w:val="Altyazı Char"/>
    <w:link w:val="Altyaz"/>
    <w:rsid w:val="00A36F1C"/>
    <w:rPr>
      <w:b w:val="1"/>
      <w:sz w:val="28"/>
      <w:lang w:val="fr-BE"/>
    </w:rPr>
  </w:style>
  <w:style w:type="character" w:styleId="DipnotMetniChar" w:customStyle="1">
    <w:name w:val="Dipnot Metni Char"/>
    <w:link w:val="DipnotMetni"/>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snapToGrid w:val="1"/>
      <w:lang w:eastAsia="fr-BE" w:val="fr-BE"/>
    </w:rPr>
  </w:style>
  <w:style w:type="character" w:styleId="highlight" w:customStyle="1">
    <w:name w:val="highlight"/>
    <w:rsid w:val="00B9793F"/>
    <w:rPr>
      <w:rFonts w:cs="Times New Roman"/>
    </w:rPr>
  </w:style>
  <w:style w:type="paragraph" w:styleId="ListeParagraf">
    <w:name w:val="List Paragraph"/>
    <w:basedOn w:val="Normal"/>
    <w:uiPriority w:val="34"/>
    <w:qFormat w:val="1"/>
    <w:rsid w:val="00B9793F"/>
    <w:pPr>
      <w:ind w:left="720"/>
    </w:pPr>
  </w:style>
  <w:style w:type="paragraph" w:styleId="Dzeltme">
    <w:name w:val="Revision"/>
    <w:hidden w:val="1"/>
    <w:uiPriority w:val="99"/>
    <w:semiHidden w:val="1"/>
    <w:rsid w:val="00D97139"/>
    <w:rPr>
      <w:snapToGrid w:val="0"/>
      <w:lang w:eastAsia="en-US"/>
    </w:rPr>
  </w:style>
  <w:style w:type="character" w:styleId="Balk4Char" w:customStyle="1">
    <w:name w:val="Başlık 4 Char"/>
    <w:basedOn w:val="VarsaylanParagrafYazTipi"/>
    <w:link w:val="Balk4"/>
    <w:semiHidden w:val="1"/>
    <w:rsid w:val="009B5369"/>
    <w:rPr>
      <w:rFonts w:asciiTheme="minorHAnsi" w:cstheme="minorBidi" w:eastAsiaTheme="minorEastAsia" w:hAnsiTheme="minorHAnsi"/>
      <w:b w:val="1"/>
      <w:bCs w:val="1"/>
      <w:snapToGrid w:val="0"/>
      <w:sz w:val="28"/>
      <w:szCs w:val="28"/>
      <w:lang w:eastAsia="en-US" w:val="en-US"/>
    </w:rPr>
  </w:style>
  <w:style w:type="character" w:styleId="zmlenmeyenBahsetme1" w:customStyle="1">
    <w:name w:val="Çözümlenmeyen Bahsetme1"/>
    <w:basedOn w:val="VarsaylanParagrafYazTipi"/>
    <w:uiPriority w:val="99"/>
    <w:semiHidden w:val="1"/>
    <w:unhideWhenUsed w:val="1"/>
    <w:rsid w:val="005D7DA1"/>
    <w:rPr>
      <w:color w:val="605e5c"/>
      <w:shd w:color="auto" w:fill="e1dfdd" w:val="clear"/>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ec.europa.eu/budget/graphs/inforeuro.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ownload/attachments/152798822/a14a_declaration_honour_procurement_en.docx?version=2&amp;modificationDate=1737021464378&amp;api=v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i/s/I5dUebaB4iV+7pJ+/+lsnw==">CgMxLjAyCGguZ2pkZ3hzMg5oLnc2bGFvcnNiNjNzYzINaC4xY2oycWhpYWkzYTIJaC4xZm9iOXRlMgloLjN6bnlzaDcyCWguMmV0OTJwMDgAciExcjFMS1Z4WFNvWWRPRjVXUk9xcjYtWFowNkNtZmN3QkU=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2025-06-26T10:47:00Z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0x010100263B1F5D7841074CBE2E963D24797DAD</vt:lpwstr>
  </property>
</Properties>
</file>