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tabs>
          <w:tab w:val="right" w:leader="none" w:pos="567"/>
          <w:tab w:val="right" w:leader="none" w:pos="0"/>
        </w:tabs>
        <w:ind w:firstLine="1287"/>
        <w:jc w:val="left"/>
        <w:rPr>
          <w:rFonts w:ascii="Times New Roman" w:cs="Times New Roman" w:eastAsia="Times New Roman" w:hAnsi="Times New Roman"/>
          <w:i w:val="1"/>
          <w:sz w:val="28"/>
          <w:szCs w:val="28"/>
        </w:rPr>
      </w:pPr>
      <w:bookmarkStart w:colFirst="0" w:colLast="0" w:name="_heading=h.gjdgxs" w:id="0"/>
      <w:bookmarkEnd w:id="0"/>
      <w:r w:rsidDel="00000000" w:rsidR="00000000" w:rsidRPr="00000000">
        <w:rPr>
          <w:rFonts w:ascii="Times New Roman" w:cs="Times New Roman" w:eastAsia="Times New Roman" w:hAnsi="Times New Roman"/>
          <w:i w:val="1"/>
          <w:sz w:val="28"/>
          <w:szCs w:val="28"/>
          <w:rtl w:val="0"/>
        </w:rPr>
        <w:tab/>
        <w:tab/>
        <w:tab/>
        <w:t xml:space="preserve">SPECIAL CONDITIONS</w:t>
      </w:r>
    </w:p>
    <w:p w:rsidR="00000000" w:rsidDel="00000000" w:rsidP="00000000" w:rsidRDefault="00000000" w:rsidRPr="00000000" w14:paraId="00000002">
      <w:pPr>
        <w:tabs>
          <w:tab w:val="right" w:leader="none" w:pos="0"/>
        </w:tabs>
        <w:spacing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CONTENTS</w:t>
      </w:r>
    </w:p>
    <w:p w:rsidR="00000000" w:rsidDel="00000000" w:rsidP="00000000" w:rsidRDefault="00000000" w:rsidRPr="00000000" w14:paraId="00000003">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These conditions amplify and supplement, if necessary, the general conditions governing the contract. Unless the special conditions provide otherwise, those general conditions remain fully applicable. The numbering of the articles of the special conditions is not consecutive but follows the numbering of the articles of the general conditions. In exceptional cases, and with the authorisation of the appropriate Commission departments, other clauses may be added to cover specific situations.</w:t>
      </w:r>
    </w:p>
    <w:p w:rsidR="00000000" w:rsidDel="00000000" w:rsidP="00000000" w:rsidRDefault="00000000" w:rsidRPr="00000000" w14:paraId="00000004">
      <w:pPr>
        <w:tabs>
          <w:tab w:val="right" w:leader="none" w:pos="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1</w:t>
        <w:tab/>
        <w:t xml:space="preserve">Language of the contract</w:t>
      </w:r>
    </w:p>
    <w:p w:rsidR="00000000" w:rsidDel="00000000" w:rsidP="00000000" w:rsidRDefault="00000000" w:rsidRPr="00000000" w14:paraId="00000005">
      <w:pPr>
        <w:tabs>
          <w:tab w:val="right" w:leader="none" w:pos="0"/>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language used shall be English.</w:t>
      </w:r>
    </w:p>
    <w:p w:rsidR="00000000" w:rsidDel="00000000" w:rsidP="00000000" w:rsidRDefault="00000000" w:rsidRPr="00000000" w14:paraId="00000006">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1fob9te" w:id="1"/>
      <w:bookmarkEnd w:id="1"/>
      <w:r w:rsidDel="00000000" w:rsidR="00000000" w:rsidRPr="00000000">
        <w:rPr>
          <w:rFonts w:ascii="Times New Roman" w:cs="Times New Roman" w:eastAsia="Times New Roman" w:hAnsi="Times New Roman"/>
          <w:b w:val="1"/>
          <w:sz w:val="24"/>
          <w:szCs w:val="24"/>
          <w:rtl w:val="0"/>
        </w:rPr>
        <w:t xml:space="preserve">Article 2</w:t>
        <w:tab/>
        <w:t xml:space="preserve">Communications</w:t>
      </w:r>
    </w:p>
    <w:p w:rsidR="00000000" w:rsidDel="00000000" w:rsidP="00000000" w:rsidRDefault="00000000" w:rsidRPr="00000000" w14:paraId="00000007">
      <w:pPr>
        <w:tabs>
          <w:tab w:val="right" w:leader="none" w:pos="0"/>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designated contact person for communication is Betül Güvender. All communication between the Contracting Parties will be exclusively in writing form. The official contact address is Bahçelievler, 1851/10. Sokak No:3, 35600 Karşıyaka, Izmir, and she can be reached by phone at +90 533 468 43 32 or via email at </w:t>
      </w:r>
      <w:hyperlink r:id="rId8">
        <w:r w:rsidDel="00000000" w:rsidR="00000000" w:rsidRPr="00000000">
          <w:rPr>
            <w:rFonts w:ascii="Times New Roman" w:cs="Times New Roman" w:eastAsia="Times New Roman" w:hAnsi="Times New Roman"/>
            <w:color w:val="0000ff"/>
            <w:sz w:val="22"/>
            <w:szCs w:val="22"/>
            <w:u w:val="single"/>
            <w:rtl w:val="0"/>
          </w:rPr>
          <w:t xml:space="preserve">betul@redi-ngo.eu</w:t>
        </w:r>
      </w:hyperlink>
      <w:r w:rsidDel="00000000" w:rsidR="00000000" w:rsidRPr="00000000">
        <w:rPr>
          <w:rFonts w:ascii="Times New Roman" w:cs="Times New Roman" w:eastAsia="Times New Roman" w:hAnsi="Times New Roman"/>
          <w:sz w:val="22"/>
          <w:szCs w:val="22"/>
          <w:rtl w:val="0"/>
        </w:rPr>
        <w:t xml:space="preserve"> . To ensure clarity and traceability, all official documents and communications will be exchanged exclusively through email. </w:t>
      </w:r>
    </w:p>
    <w:p w:rsidR="00000000" w:rsidDel="00000000" w:rsidP="00000000" w:rsidRDefault="00000000" w:rsidRPr="00000000" w14:paraId="00000008">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3znysh7" w:id="2"/>
      <w:bookmarkEnd w:id="2"/>
      <w:r w:rsidDel="00000000" w:rsidR="00000000" w:rsidRPr="00000000">
        <w:rPr>
          <w:rFonts w:ascii="Times New Roman" w:cs="Times New Roman" w:eastAsia="Times New Roman" w:hAnsi="Times New Roman"/>
          <w:b w:val="1"/>
          <w:sz w:val="24"/>
          <w:szCs w:val="24"/>
          <w:rtl w:val="0"/>
        </w:rPr>
        <w:t xml:space="preserve">Article 3</w:t>
        <w:tab/>
        <w:t xml:space="preserve">Supply of documents</w:t>
      </w:r>
    </w:p>
    <w:p w:rsidR="00000000" w:rsidDel="00000000" w:rsidP="00000000" w:rsidRDefault="00000000" w:rsidRPr="00000000" w14:paraId="00000009">
      <w:pPr>
        <w:tabs>
          <w:tab w:val="right" w:leader="none" w:pos="0"/>
        </w:tabs>
        <w:spacing w:before="240" w:lineRule="auto"/>
        <w:jc w:val="both"/>
        <w:rPr>
          <w:rFonts w:ascii="Times New Roman" w:cs="Times New Roman" w:eastAsia="Times New Roman" w:hAnsi="Times New Roman"/>
          <w:sz w:val="22"/>
          <w:szCs w:val="22"/>
        </w:rPr>
      </w:pPr>
      <w:bookmarkStart w:colFirst="0" w:colLast="0" w:name="_heading=h.2et92p0" w:id="3"/>
      <w:bookmarkEnd w:id="3"/>
      <w:r w:rsidDel="00000000" w:rsidR="00000000" w:rsidRPr="00000000">
        <w:rPr>
          <w:rFonts w:ascii="Times New Roman" w:cs="Times New Roman" w:eastAsia="Times New Roman" w:hAnsi="Times New Roman"/>
          <w:sz w:val="22"/>
          <w:szCs w:val="22"/>
          <w:rtl w:val="0"/>
        </w:rPr>
        <w:t xml:space="preserve">Drawings to be supplied and the project manager to approve drawings and other documents provided by the contractor.</w:t>
      </w:r>
    </w:p>
    <w:p w:rsidR="00000000" w:rsidDel="00000000" w:rsidP="00000000" w:rsidRDefault="00000000" w:rsidRPr="00000000" w14:paraId="0000000A">
      <w:pPr>
        <w:tabs>
          <w:tab w:val="right" w:leader="none" w:pos="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4</w:t>
        <w:tab/>
        <w:t xml:space="preserve">Assistance with local regulations</w:t>
      </w:r>
    </w:p>
    <w:p w:rsidR="00000000" w:rsidDel="00000000" w:rsidP="00000000" w:rsidRDefault="00000000" w:rsidRPr="00000000" w14:paraId="0000000B">
      <w:pPr>
        <w:tabs>
          <w:tab w:val="right" w:leader="none" w:pos="0"/>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the case of a dispute with the supplier, the provisions outlined in the Consumer Arbitration Committees Regulation published in the Official Gazette shall be primarily applied. (</w:t>
      </w:r>
      <w:hyperlink r:id="rId9">
        <w:r w:rsidDel="00000000" w:rsidR="00000000" w:rsidRPr="00000000">
          <w:rPr>
            <w:rFonts w:ascii="Times New Roman" w:cs="Times New Roman" w:eastAsia="Times New Roman" w:hAnsi="Times New Roman"/>
            <w:color w:val="0000ff"/>
            <w:sz w:val="22"/>
            <w:szCs w:val="22"/>
            <w:u w:val="single"/>
            <w:rtl w:val="0"/>
          </w:rPr>
          <w:t xml:space="preserve">https://www.resmigazete.gov.tr/eskiler/2022/09/20220921-1.htm</w:t>
        </w:r>
      </w:hyperlink>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0C">
      <w:pPr>
        <w:keepNext w:val="1"/>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tyjcwt" w:id="4"/>
      <w:bookmarkEnd w:id="4"/>
      <w:r w:rsidDel="00000000" w:rsidR="00000000" w:rsidRPr="00000000">
        <w:rPr>
          <w:rFonts w:ascii="Times New Roman" w:cs="Times New Roman" w:eastAsia="Times New Roman" w:hAnsi="Times New Roman"/>
          <w:b w:val="1"/>
          <w:sz w:val="24"/>
          <w:szCs w:val="24"/>
          <w:rtl w:val="0"/>
        </w:rPr>
        <w:t xml:space="preserve">Article 5   Origin</w:t>
      </w:r>
    </w:p>
    <w:p w:rsidR="00000000" w:rsidDel="00000000" w:rsidP="00000000" w:rsidRDefault="00000000" w:rsidRPr="00000000" w14:paraId="0000000D">
      <w:pPr>
        <w:pStyle w:val="Heading2"/>
        <w:keepNext w:val="0"/>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All goods purchased can originate in any country.</w:t>
      </w:r>
    </w:p>
    <w:p w:rsidR="00000000" w:rsidDel="00000000" w:rsidP="00000000" w:rsidRDefault="00000000" w:rsidRPr="00000000" w14:paraId="0000000E">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3dy6vkm" w:id="5"/>
      <w:bookmarkEnd w:id="5"/>
      <w:r w:rsidDel="00000000" w:rsidR="00000000" w:rsidRPr="00000000">
        <w:rPr>
          <w:rFonts w:ascii="Times New Roman" w:cs="Times New Roman" w:eastAsia="Times New Roman" w:hAnsi="Times New Roman"/>
          <w:b w:val="1"/>
          <w:sz w:val="24"/>
          <w:szCs w:val="24"/>
          <w:rtl w:val="0"/>
        </w:rPr>
        <w:t xml:space="preserve">Article 6</w:t>
        <w:tab/>
        <w:t xml:space="preserve">Performance guarantee</w:t>
      </w:r>
    </w:p>
    <w:p w:rsidR="00000000" w:rsidDel="00000000" w:rsidP="00000000" w:rsidRDefault="00000000" w:rsidRPr="00000000" w14:paraId="0000000F">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performance guarantee is required.</w:t>
      </w:r>
    </w:p>
    <w:p w:rsidR="00000000" w:rsidDel="00000000" w:rsidP="00000000" w:rsidRDefault="00000000" w:rsidRPr="00000000" w14:paraId="00000010">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1t3h5sf" w:id="6"/>
      <w:bookmarkEnd w:id="6"/>
      <w:r w:rsidDel="00000000" w:rsidR="00000000" w:rsidRPr="00000000">
        <w:rPr>
          <w:rFonts w:ascii="Times New Roman" w:cs="Times New Roman" w:eastAsia="Times New Roman" w:hAnsi="Times New Roman"/>
          <w:b w:val="1"/>
          <w:sz w:val="24"/>
          <w:szCs w:val="24"/>
          <w:rtl w:val="0"/>
        </w:rPr>
        <w:t xml:space="preserve">Article 7</w:t>
        <w:tab/>
        <w:t xml:space="preserve">Liabilities and insurance</w:t>
      </w:r>
    </w:p>
    <w:p w:rsidR="00000000" w:rsidDel="00000000" w:rsidP="00000000" w:rsidRDefault="00000000" w:rsidRPr="00000000" w14:paraId="00000011">
      <w:pPr>
        <w:tabs>
          <w:tab w:val="right" w:leader="none" w:pos="0"/>
          <w:tab w:val="left" w:leader="none" w:pos="1134"/>
        </w:tabs>
        <w:spacing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(a)</w:t>
      </w:r>
      <w:r w:rsidDel="00000000" w:rsidR="00000000" w:rsidRPr="00000000">
        <w:rPr>
          <w:rtl w:val="0"/>
        </w:rPr>
      </w:r>
    </w:p>
    <w:p w:rsidR="00000000" w:rsidDel="00000000" w:rsidP="00000000" w:rsidRDefault="00000000" w:rsidRPr="00000000" w14:paraId="00000012">
      <w:pPr>
        <w:tabs>
          <w:tab w:val="right" w:leader="none" w:pos="0"/>
          <w:tab w:val="left" w:leader="none" w:pos="426"/>
        </w:tabs>
        <w:spacing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following requirements apply to liability for damage to the supplies: The contractor is responsible for taking all necessary measures to prevent damage to the delivered supplies. Any damage occurring during delivery is the responsibility of the contractor, and the supplier must promptly compensate for the damages. After delivery, any damage detected by the buyer must be reported to the contractor, and repair or replacement with new items may be requested. Under the terms of the contract, the contractor bears responsibility for damages arising from any defect or faulty delivery.</w:t>
      </w:r>
    </w:p>
    <w:p w:rsidR="00000000" w:rsidDel="00000000" w:rsidP="00000000" w:rsidRDefault="00000000" w:rsidRPr="00000000" w14:paraId="00000013">
      <w:pPr>
        <w:tabs>
          <w:tab w:val="right" w:leader="none" w:pos="0"/>
          <w:tab w:val="left" w:leader="none" w:pos="426"/>
        </w:tabs>
        <w:spacing w:befor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4">
      <w:pPr>
        <w:tabs>
          <w:tab w:val="right" w:leader="none" w:pos="0"/>
          <w:tab w:val="left" w:leader="none" w:pos="1134"/>
        </w:tabs>
        <w:spacing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(b)</w:t>
        <w:tab/>
      </w:r>
      <w:r w:rsidDel="00000000" w:rsidR="00000000" w:rsidRPr="00000000">
        <w:rPr>
          <w:rtl w:val="0"/>
        </w:rPr>
      </w:r>
    </w:p>
    <w:p w:rsidR="00000000" w:rsidDel="00000000" w:rsidP="00000000" w:rsidRDefault="00000000" w:rsidRPr="00000000" w14:paraId="00000015">
      <w:pPr>
        <w:tabs>
          <w:tab w:val="right" w:leader="none" w:pos="0"/>
          <w:tab w:val="left" w:leader="none" w:pos="426"/>
        </w:tabs>
        <w:spacing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The contractor shall be liable for any damages caused to the contracting authority during the execution of the contract. This includes, but is not limited to, any damage to property, financial loss, or reputational harm caused by the contractor’s actions or omissions. The contractor is responsible for promptly repairing, replacing, or compensating for any damages incurred. In case of breach of contract or failure to meet the agreed terms, the contracting authority has the right to seek compensation for any direct or indirect damages resulting from the contractor’s non-compliance or negligence.</w:t>
      </w:r>
      <w:r w:rsidDel="00000000" w:rsidR="00000000" w:rsidRPr="00000000">
        <w:rPr>
          <w:rtl w:val="0"/>
        </w:rPr>
      </w:r>
    </w:p>
    <w:p w:rsidR="00000000" w:rsidDel="00000000" w:rsidP="00000000" w:rsidRDefault="00000000" w:rsidRPr="00000000" w14:paraId="00000016">
      <w:pPr>
        <w:tabs>
          <w:tab w:val="right" w:leader="none" w:pos="0"/>
          <w:tab w:val="left" w:leader="none" w:pos="1843"/>
        </w:tabs>
        <w:spacing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2(a), paragraph 1</w:t>
        <w:tab/>
      </w:r>
      <w:r w:rsidDel="00000000" w:rsidR="00000000" w:rsidRPr="00000000">
        <w:rPr>
          <w:rtl w:val="0"/>
        </w:rPr>
      </w:r>
    </w:p>
    <w:p w:rsidR="00000000" w:rsidDel="00000000" w:rsidP="00000000" w:rsidRDefault="00000000" w:rsidRPr="00000000" w14:paraId="00000017">
      <w:pPr>
        <w:tabs>
          <w:tab w:val="right" w:leader="none" w:pos="0"/>
        </w:tabs>
        <w:spacing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The proof of completion of adequate Guarantee must be provided before the commencement of the contract or as a condition for finalizing the agreement. The contractor is required to submit a copy of the valid insurance policy that meets the specified coverage criteria within 2 years after signing the contract. Failure to provide proof of Guarantee within the specified period may result in delays or termination of the contract.</w:t>
      </w:r>
      <w:r w:rsidDel="00000000" w:rsidR="00000000" w:rsidRPr="00000000">
        <w:rPr>
          <w:rtl w:val="0"/>
        </w:rPr>
      </w:r>
    </w:p>
    <w:p w:rsidR="00000000" w:rsidDel="00000000" w:rsidP="00000000" w:rsidRDefault="00000000" w:rsidRPr="00000000" w14:paraId="00000018">
      <w:pPr>
        <w:tabs>
          <w:tab w:val="right" w:leader="none" w:pos="0"/>
          <w:tab w:val="left" w:leader="none" w:pos="1843"/>
        </w:tabs>
        <w:spacing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2(a), paragraph 2</w:t>
        <w:tab/>
      </w:r>
      <w:r w:rsidDel="00000000" w:rsidR="00000000" w:rsidRPr="00000000">
        <w:rPr>
          <w:rtl w:val="0"/>
        </w:rPr>
      </w:r>
    </w:p>
    <w:p w:rsidR="00000000" w:rsidDel="00000000" w:rsidP="00000000" w:rsidRDefault="00000000" w:rsidRPr="00000000" w14:paraId="00000019">
      <w:pPr>
        <w:tabs>
          <w:tab w:val="right" w:leader="none" w:pos="0"/>
        </w:tabs>
        <w:spacing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The requirements for communication of cover notes and/or guarantee certificates must be fulfilled before the commencement of the contract. The contractor is required to submit the cover notes and/or guarantee certificates within 2 years after signing the contract. These documents must be provided in writing and must clearly demonstrate that the necessary guarantee coverage is in place. Failure to submit these documents within the specified time frame may result in a delay or termination of the contract.</w:t>
      </w:r>
      <w:r w:rsidDel="00000000" w:rsidR="00000000" w:rsidRPr="00000000">
        <w:rPr>
          <w:rtl w:val="0"/>
        </w:rPr>
      </w:r>
    </w:p>
    <w:p w:rsidR="00000000" w:rsidDel="00000000" w:rsidP="00000000" w:rsidRDefault="00000000" w:rsidRPr="00000000" w14:paraId="0000001A">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2(b), paragraph 3</w:t>
        <w:tab/>
      </w:r>
    </w:p>
    <w:p w:rsidR="00000000" w:rsidDel="00000000" w:rsidP="00000000" w:rsidRDefault="00000000" w:rsidRPr="00000000" w14:paraId="0000001B">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shall be responsible for any damages that occur during the transport of supplies. The contractor must ensure that appropriate measures are taken to prevent damage during transportation and shall bear the liability for any damages incurred. The absence of a specific insurance policy for the transport does not relieve the contractor from this responsibility.</w:t>
      </w:r>
    </w:p>
    <w:p w:rsidR="00000000" w:rsidDel="00000000" w:rsidP="00000000" w:rsidRDefault="00000000" w:rsidRPr="00000000" w14:paraId="0000001C">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4d34og8" w:id="7"/>
      <w:bookmarkEnd w:id="7"/>
      <w:r w:rsidDel="00000000" w:rsidR="00000000" w:rsidRPr="00000000">
        <w:rPr>
          <w:rFonts w:ascii="Times New Roman" w:cs="Times New Roman" w:eastAsia="Times New Roman" w:hAnsi="Times New Roman"/>
          <w:b w:val="1"/>
          <w:sz w:val="24"/>
          <w:szCs w:val="24"/>
          <w:rtl w:val="0"/>
        </w:rPr>
        <w:t xml:space="preserve">Article 8</w:t>
        <w:tab/>
        <w:t xml:space="preserve">Programme of implementation of tasks</w:t>
      </w:r>
    </w:p>
    <w:p w:rsidR="00000000" w:rsidDel="00000000" w:rsidP="00000000" w:rsidRDefault="00000000" w:rsidRPr="00000000" w14:paraId="0000001D">
      <w:pPr>
        <w:tabs>
          <w:tab w:val="right" w:leader="none" w:pos="0"/>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keepLines w:val="1"/>
        <w:tabs>
          <w:tab w:val="right" w:leader="none" w:pos="0"/>
        </w:tabs>
        <w:spacing w:after="0" w:before="0" w:lineRule="auto"/>
        <w:ind w:right="525"/>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Deadline for requesting clarifications: 21 days before deadline for submission of tenders, End of business day</w:t>
      </w:r>
    </w:p>
    <w:p w:rsidR="00000000" w:rsidDel="00000000" w:rsidP="00000000" w:rsidRDefault="00000000" w:rsidRPr="00000000" w14:paraId="0000001F">
      <w:pPr>
        <w:keepLines w:val="1"/>
        <w:tabs>
          <w:tab w:val="right" w:leader="none" w:pos="0"/>
        </w:tabs>
        <w:spacing w:after="0" w:before="0" w:lineRule="auto"/>
        <w:ind w:right="525"/>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0">
      <w:pPr>
        <w:keepLines w:val="1"/>
        <w:tabs>
          <w:tab w:val="right" w:leader="none" w:pos="0"/>
        </w:tabs>
        <w:spacing w:after="0" w:before="0" w:lineRule="auto"/>
        <w:ind w:right="525"/>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Last date for issuing clarifications: 8 days before deadline for submission of tenders, End of business day</w:t>
        <w:br w:type="textWrapping"/>
      </w:r>
    </w:p>
    <w:p w:rsidR="00000000" w:rsidDel="00000000" w:rsidP="00000000" w:rsidRDefault="00000000" w:rsidRPr="00000000" w14:paraId="00000021">
      <w:pPr>
        <w:keepLines w:val="1"/>
        <w:tabs>
          <w:tab w:val="right" w:leader="none" w:pos="0"/>
        </w:tabs>
        <w:spacing w:after="0" w:before="0" w:lineRule="auto"/>
        <w:ind w:right="525"/>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Deadline for submission of tenders: 30 days from invitation, End of business day</w:t>
        <w:br w:type="textWrapping"/>
      </w:r>
    </w:p>
    <w:p w:rsidR="00000000" w:rsidDel="00000000" w:rsidP="00000000" w:rsidRDefault="00000000" w:rsidRPr="00000000" w14:paraId="00000022">
      <w:pPr>
        <w:keepLines w:val="1"/>
        <w:tabs>
          <w:tab w:val="right" w:leader="none" w:pos="0"/>
        </w:tabs>
        <w:spacing w:after="0" w:before="0" w:lineRule="auto"/>
        <w:ind w:right="525"/>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 opening session: 3 days after the submission deadline, End of business day</w:t>
        <w:br w:type="textWrapping"/>
      </w:r>
    </w:p>
    <w:p w:rsidR="00000000" w:rsidDel="00000000" w:rsidP="00000000" w:rsidRDefault="00000000" w:rsidRPr="00000000" w14:paraId="00000023">
      <w:pPr>
        <w:keepLines w:val="1"/>
        <w:tabs>
          <w:tab w:val="right" w:leader="none" w:pos="0"/>
        </w:tabs>
        <w:spacing w:after="0" w:before="0" w:lineRule="auto"/>
        <w:ind w:right="525"/>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Notification of award: 5 days after the submission deadline, End of business day</w:t>
        <w:br w:type="textWrapping"/>
      </w:r>
    </w:p>
    <w:p w:rsidR="00000000" w:rsidDel="00000000" w:rsidP="00000000" w:rsidRDefault="00000000" w:rsidRPr="00000000" w14:paraId="00000024">
      <w:pPr>
        <w:keepLines w:val="1"/>
        <w:tabs>
          <w:tab w:val="right" w:leader="none" w:pos="0"/>
        </w:tabs>
        <w:spacing w:after="0" w:before="0" w:lineRule="auto"/>
        <w:ind w:right="525"/>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Contract signature: 10 days after the submission deadline, End of business day</w:t>
      </w:r>
    </w:p>
    <w:p w:rsidR="00000000" w:rsidDel="00000000" w:rsidP="00000000" w:rsidRDefault="00000000" w:rsidRPr="00000000" w14:paraId="00000025">
      <w:pPr>
        <w:keepLines w:val="1"/>
        <w:tabs>
          <w:tab w:val="right" w:leader="none" w:pos="0"/>
        </w:tabs>
        <w:spacing w:after="0" w:before="0" w:lineRule="auto"/>
        <w:jc w:val="both"/>
        <w:rPr>
          <w:rFonts w:ascii="Times New Roman" w:cs="Times New Roman" w:eastAsia="Times New Roman" w:hAnsi="Times New Roman"/>
          <w:b w:val="1"/>
          <w:color w:val="b80672"/>
          <w:sz w:val="22"/>
          <w:szCs w:val="22"/>
        </w:rPr>
      </w:pPr>
      <w:r w:rsidDel="00000000" w:rsidR="00000000" w:rsidRPr="00000000">
        <w:rPr>
          <w:rtl w:val="0"/>
        </w:rPr>
      </w:r>
    </w:p>
    <w:p w:rsidR="00000000" w:rsidDel="00000000" w:rsidP="00000000" w:rsidRDefault="00000000" w:rsidRPr="00000000" w14:paraId="00000026">
      <w:pPr>
        <w:tabs>
          <w:tab w:val="right" w:leader="none" w:pos="0"/>
        </w:tabs>
        <w:spacing w:after="144" w:before="288" w:lineRule="auto"/>
        <w:rPr>
          <w:rFonts w:ascii="Times New Roman" w:cs="Times New Roman" w:eastAsia="Times New Roman" w:hAnsi="Times New Roman"/>
          <w:b w:val="1"/>
          <w:sz w:val="22"/>
          <w:szCs w:val="22"/>
        </w:rPr>
      </w:pPr>
      <w:bookmarkStart w:colFirst="0" w:colLast="0" w:name="_heading=h.30j0zll" w:id="8"/>
      <w:bookmarkEnd w:id="8"/>
      <w:r w:rsidDel="00000000" w:rsidR="00000000" w:rsidRPr="00000000">
        <w:rPr>
          <w:rFonts w:ascii="Times New Roman" w:cs="Times New Roman" w:eastAsia="Times New Roman" w:hAnsi="Times New Roman"/>
          <w:b w:val="1"/>
          <w:sz w:val="22"/>
          <w:szCs w:val="22"/>
          <w:rtl w:val="0"/>
        </w:rPr>
        <w:t xml:space="preserve">* The time zone of the country of the contracting authority.</w:t>
        <w:br w:type="textWrapping"/>
        <w:t xml:space="preserve">**</w:t>
      </w:r>
      <w:r w:rsidDel="00000000" w:rsidR="00000000" w:rsidRPr="00000000">
        <w:rPr>
          <w:rFonts w:ascii="Times New Roman" w:cs="Times New Roman" w:eastAsia="Times New Roman" w:hAnsi="Times New Roman"/>
          <w:sz w:val="22"/>
          <w:szCs w:val="22"/>
          <w:vertAlign w:val="superscript"/>
          <w:rtl w:val="0"/>
        </w:rPr>
        <w:t xml:space="preserve"> </w:t>
      </w:r>
      <w:r w:rsidDel="00000000" w:rsidR="00000000" w:rsidRPr="00000000">
        <w:rPr>
          <w:rFonts w:ascii="Times New Roman" w:cs="Times New Roman" w:eastAsia="Times New Roman" w:hAnsi="Times New Roman"/>
          <w:b w:val="1"/>
          <w:sz w:val="22"/>
          <w:szCs w:val="22"/>
          <w:rtl w:val="0"/>
        </w:rPr>
        <w:t xml:space="preserve">Provisional date. Days presented are calendar based.</w:t>
      </w:r>
    </w:p>
    <w:p w:rsidR="00000000" w:rsidDel="00000000" w:rsidP="00000000" w:rsidRDefault="00000000" w:rsidRPr="00000000" w14:paraId="00000027">
      <w:pPr>
        <w:tabs>
          <w:tab w:val="right" w:leader="none" w:pos="0"/>
        </w:tabs>
        <w:spacing w:after="144" w:before="288" w:lineRule="auto"/>
        <w:rPr>
          <w:rFonts w:ascii="Times New Roman" w:cs="Times New Roman" w:eastAsia="Times New Roman" w:hAnsi="Times New Roman"/>
          <w:b w:val="1"/>
          <w:sz w:val="22"/>
          <w:szCs w:val="22"/>
        </w:rPr>
      </w:pPr>
      <w:bookmarkStart w:colFirst="0" w:colLast="0" w:name="_heading=h.vial5520a10w" w:id="9"/>
      <w:bookmarkEnd w:id="9"/>
      <w:r w:rsidDel="00000000" w:rsidR="00000000" w:rsidRPr="00000000">
        <w:rPr>
          <w:rFonts w:ascii="Times New Roman" w:cs="Times New Roman" w:eastAsia="Times New Roman" w:hAnsi="Times New Roman"/>
          <w:b w:val="1"/>
          <w:sz w:val="22"/>
          <w:szCs w:val="22"/>
          <w:rtl w:val="0"/>
        </w:rPr>
        <w:t xml:space="preserve">*** Should the last day of the indicated calendar be a non working day, deadlines will be extended until the next working day.</w:t>
      </w:r>
    </w:p>
    <w:p w:rsidR="00000000" w:rsidDel="00000000" w:rsidP="00000000" w:rsidRDefault="00000000" w:rsidRPr="00000000" w14:paraId="00000028">
      <w:pPr>
        <w:tabs>
          <w:tab w:val="right" w:leader="none" w:pos="0"/>
        </w:tabs>
        <w:spacing w:after="144" w:before="288" w:lineRule="auto"/>
        <w:rPr>
          <w:rFonts w:ascii="Times New Roman" w:cs="Times New Roman" w:eastAsia="Times New Roman" w:hAnsi="Times New Roman"/>
          <w:b w:val="1"/>
          <w:sz w:val="22"/>
          <w:szCs w:val="22"/>
        </w:rPr>
      </w:pPr>
      <w:bookmarkStart w:colFirst="0" w:colLast="0" w:name="_heading=h.o0v4e11tggbs" w:id="10"/>
      <w:bookmarkEnd w:id="10"/>
      <w:r w:rsidDel="00000000" w:rsidR="00000000" w:rsidRPr="00000000">
        <w:rPr>
          <w:rtl w:val="0"/>
        </w:rPr>
      </w:r>
    </w:p>
    <w:p w:rsidR="00000000" w:rsidDel="00000000" w:rsidP="00000000" w:rsidRDefault="00000000" w:rsidRPr="00000000" w14:paraId="00000029">
      <w:pPr>
        <w:tabs>
          <w:tab w:val="right" w:leader="none" w:pos="0"/>
        </w:tabs>
        <w:spacing w:after="144" w:before="288" w:lineRule="auto"/>
        <w:rPr>
          <w:rFonts w:ascii="Times New Roman" w:cs="Times New Roman" w:eastAsia="Times New Roman" w:hAnsi="Times New Roman"/>
          <w:b w:val="1"/>
          <w:sz w:val="22"/>
          <w:szCs w:val="22"/>
        </w:rPr>
      </w:pPr>
      <w:bookmarkStart w:colFirst="0" w:colLast="0" w:name="_heading=h.4f38ou3rdnub" w:id="11"/>
      <w:bookmarkEnd w:id="11"/>
      <w:r w:rsidDel="00000000" w:rsidR="00000000" w:rsidRPr="00000000">
        <w:rPr>
          <w:rtl w:val="0"/>
        </w:rPr>
      </w:r>
    </w:p>
    <w:p w:rsidR="00000000" w:rsidDel="00000000" w:rsidP="00000000" w:rsidRDefault="00000000" w:rsidRPr="00000000" w14:paraId="0000002A">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2s8eyo1" w:id="12"/>
      <w:bookmarkEnd w:id="12"/>
      <w:r w:rsidDel="00000000" w:rsidR="00000000" w:rsidRPr="00000000">
        <w:rPr>
          <w:rFonts w:ascii="Times New Roman" w:cs="Times New Roman" w:eastAsia="Times New Roman" w:hAnsi="Times New Roman"/>
          <w:b w:val="1"/>
          <w:sz w:val="24"/>
          <w:szCs w:val="24"/>
          <w:rtl w:val="0"/>
        </w:rPr>
        <w:t xml:space="preserve">Article 9</w:t>
        <w:tab/>
        <w:t xml:space="preserve">Contractor’s drawings</w:t>
      </w:r>
    </w:p>
    <w:p w:rsidR="00000000" w:rsidDel="00000000" w:rsidP="00000000" w:rsidRDefault="00000000" w:rsidRPr="00000000" w14:paraId="0000002B">
      <w:pPr>
        <w:tabs>
          <w:tab w:val="right" w:leader="none" w:pos="0"/>
        </w:tabs>
        <w:spacing w:before="240" w:lineRule="auto"/>
        <w:jc w:val="both"/>
        <w:rPr>
          <w:rFonts w:ascii="Times New Roman" w:cs="Times New Roman" w:eastAsia="Times New Roman" w:hAnsi="Times New Roman"/>
          <w:sz w:val="22"/>
          <w:szCs w:val="22"/>
        </w:rPr>
      </w:pPr>
      <w:bookmarkStart w:colFirst="0" w:colLast="0" w:name="_heading=h.17dp8vu" w:id="13"/>
      <w:bookmarkEnd w:id="13"/>
      <w:r w:rsidDel="00000000" w:rsidR="00000000" w:rsidRPr="00000000">
        <w:rPr>
          <w:rFonts w:ascii="Times New Roman" w:cs="Times New Roman" w:eastAsia="Times New Roman" w:hAnsi="Times New Roman"/>
          <w:sz w:val="22"/>
          <w:szCs w:val="22"/>
          <w:rtl w:val="0"/>
        </w:rPr>
        <w:t xml:space="preserve">Drawings and Technical Documentation required from the Tenderer:</w:t>
      </w:r>
    </w:p>
    <w:p w:rsidR="00000000" w:rsidDel="00000000" w:rsidP="00000000" w:rsidRDefault="00000000" w:rsidRPr="00000000" w14:paraId="0000002C">
      <w:pPr>
        <w:tabs>
          <w:tab w:val="right" w:leader="none" w:pos="0"/>
        </w:tabs>
        <w:spacing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Detailed Furniture Drawings: For each item or category of furniture, the contractor must submit:</w:t>
      </w:r>
    </w:p>
    <w:p w:rsidR="00000000" w:rsidDel="00000000" w:rsidP="00000000" w:rsidRDefault="00000000" w:rsidRPr="00000000" w14:paraId="0000002D">
      <w:pPr>
        <w:tabs>
          <w:tab w:val="right" w:leader="none" w:pos="0"/>
        </w:tabs>
        <w:spacing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Dimensioned technical drawings (plan, elevation, and section views)</w:t>
      </w:r>
    </w:p>
    <w:p w:rsidR="00000000" w:rsidDel="00000000" w:rsidP="00000000" w:rsidRDefault="00000000" w:rsidRPr="00000000" w14:paraId="0000002E">
      <w:pPr>
        <w:tabs>
          <w:tab w:val="right" w:leader="none" w:pos="0"/>
        </w:tabs>
        <w:spacing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3D visualizations or renderings (if applicable)</w:t>
      </w:r>
    </w:p>
    <w:p w:rsidR="00000000" w:rsidDel="00000000" w:rsidP="00000000" w:rsidRDefault="00000000" w:rsidRPr="00000000" w14:paraId="0000002F">
      <w:pPr>
        <w:tabs>
          <w:tab w:val="right" w:leader="none" w:pos="0"/>
        </w:tabs>
        <w:spacing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Materials and finishes specifications (e.g., wood type, upholstery fabric, metal finishes)</w:t>
      </w:r>
    </w:p>
    <w:p w:rsidR="00000000" w:rsidDel="00000000" w:rsidP="00000000" w:rsidRDefault="00000000" w:rsidRPr="00000000" w14:paraId="00000030">
      <w:pPr>
        <w:tabs>
          <w:tab w:val="right" w:leader="none" w:pos="0"/>
        </w:tabs>
        <w:spacing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Color samples or RAL codes</w:t>
      </w:r>
    </w:p>
    <w:p w:rsidR="00000000" w:rsidDel="00000000" w:rsidP="00000000" w:rsidRDefault="00000000" w:rsidRPr="00000000" w14:paraId="00000031">
      <w:pPr>
        <w:tabs>
          <w:tab w:val="right" w:leader="none" w:pos="0"/>
        </w:tabs>
        <w:spacing w:befor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2">
      <w:pPr>
        <w:tabs>
          <w:tab w:val="right" w:leader="none" w:pos="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10</w:t>
        <w:tab/>
        <w:t xml:space="preserve">Sufficiency of tender prices</w:t>
        <w:tab/>
      </w:r>
    </w:p>
    <w:p w:rsidR="00000000" w:rsidDel="00000000" w:rsidP="00000000" w:rsidRDefault="00000000" w:rsidRPr="00000000" w14:paraId="00000033">
      <w:pPr>
        <w:tabs>
          <w:tab w:val="right" w:leader="none" w:pos="0"/>
        </w:tabs>
        <w:spacing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Cover all costs related to delivering the goods, services, or works (e.g., materials, labor, equipment, transport, overheads)</w:t>
      </w:r>
    </w:p>
    <w:p w:rsidR="00000000" w:rsidDel="00000000" w:rsidP="00000000" w:rsidRDefault="00000000" w:rsidRPr="00000000" w14:paraId="00000034">
      <w:pPr>
        <w:tabs>
          <w:tab w:val="right" w:leader="none" w:pos="0"/>
        </w:tabs>
        <w:spacing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Include any applicable taxes, duties, and fees</w:t>
      </w:r>
    </w:p>
    <w:p w:rsidR="00000000" w:rsidDel="00000000" w:rsidP="00000000" w:rsidRDefault="00000000" w:rsidRPr="00000000" w14:paraId="00000035">
      <w:pPr>
        <w:tabs>
          <w:tab w:val="right" w:leader="none" w:pos="0"/>
        </w:tabs>
        <w:spacing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Allow for compliance with all the tender requirements, technical specifications, and contractual obligations</w:t>
      </w:r>
    </w:p>
    <w:p w:rsidR="00000000" w:rsidDel="00000000" w:rsidP="00000000" w:rsidRDefault="00000000" w:rsidRPr="00000000" w14:paraId="00000036">
      <w:pPr>
        <w:tabs>
          <w:tab w:val="right" w:leader="none" w:pos="0"/>
        </w:tabs>
        <w:spacing w:befor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7">
      <w:pPr>
        <w:tabs>
          <w:tab w:val="right" w:leader="none" w:pos="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11</w:t>
        <w:tab/>
        <w:t xml:space="preserve">Tax and customs arrangements</w:t>
      </w:r>
    </w:p>
    <w:p w:rsidR="00000000" w:rsidDel="00000000" w:rsidP="00000000" w:rsidRDefault="00000000" w:rsidRPr="00000000" w14:paraId="00000038">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delivery conditions are DDP as mentioned in the general conditions. </w:t>
      </w:r>
    </w:p>
    <w:p w:rsidR="00000000" w:rsidDel="00000000" w:rsidP="00000000" w:rsidRDefault="00000000" w:rsidRPr="00000000" w14:paraId="00000039">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3rdcrjn" w:id="14"/>
      <w:bookmarkEnd w:id="14"/>
      <w:r w:rsidDel="00000000" w:rsidR="00000000" w:rsidRPr="00000000">
        <w:rPr>
          <w:rFonts w:ascii="Times New Roman" w:cs="Times New Roman" w:eastAsia="Times New Roman" w:hAnsi="Times New Roman"/>
          <w:b w:val="1"/>
          <w:sz w:val="24"/>
          <w:szCs w:val="24"/>
          <w:rtl w:val="0"/>
        </w:rPr>
        <w:t xml:space="preserve">Article 12</w:t>
        <w:tab/>
        <w:t xml:space="preserve">Patents and licences</w:t>
      </w:r>
    </w:p>
    <w:p w:rsidR="00000000" w:rsidDel="00000000" w:rsidP="00000000" w:rsidRDefault="00000000" w:rsidRPr="00000000" w14:paraId="0000003A">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derogations from Article 17 of the general conditions.</w:t>
      </w:r>
    </w:p>
    <w:p w:rsidR="00000000" w:rsidDel="00000000" w:rsidP="00000000" w:rsidRDefault="00000000" w:rsidRPr="00000000" w14:paraId="0000003B">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26in1rg" w:id="15"/>
      <w:bookmarkEnd w:id="15"/>
      <w:r w:rsidDel="00000000" w:rsidR="00000000" w:rsidRPr="00000000">
        <w:rPr>
          <w:rFonts w:ascii="Times New Roman" w:cs="Times New Roman" w:eastAsia="Times New Roman" w:hAnsi="Times New Roman"/>
          <w:b w:val="1"/>
          <w:sz w:val="24"/>
          <w:szCs w:val="24"/>
          <w:rtl w:val="0"/>
        </w:rPr>
        <w:t xml:space="preserve">Article 13</w:t>
        <w:tab/>
        <w:t xml:space="preserve">Commencement order </w:t>
      </w:r>
    </w:p>
    <w:p w:rsidR="00000000" w:rsidDel="00000000" w:rsidP="00000000" w:rsidRDefault="00000000" w:rsidRPr="00000000" w14:paraId="0000003C">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 days after the submission deadline, End of business day</w:t>
      </w:r>
    </w:p>
    <w:p w:rsidR="00000000" w:rsidDel="00000000" w:rsidP="00000000" w:rsidRDefault="00000000" w:rsidRPr="00000000" w14:paraId="0000003D">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lnxbz9" w:id="16"/>
      <w:bookmarkEnd w:id="16"/>
      <w:r w:rsidDel="00000000" w:rsidR="00000000" w:rsidRPr="00000000">
        <w:rPr>
          <w:rFonts w:ascii="Times New Roman" w:cs="Times New Roman" w:eastAsia="Times New Roman" w:hAnsi="Times New Roman"/>
          <w:b w:val="1"/>
          <w:sz w:val="24"/>
          <w:szCs w:val="24"/>
          <w:rtl w:val="0"/>
        </w:rPr>
        <w:t xml:space="preserve">Article 14</w:t>
        <w:tab/>
        <w:t xml:space="preserve">Period of implementation of the tasks</w:t>
      </w:r>
    </w:p>
    <w:p w:rsidR="00000000" w:rsidDel="00000000" w:rsidP="00000000" w:rsidRDefault="00000000" w:rsidRPr="00000000" w14:paraId="0000003E">
      <w:pPr>
        <w:tabs>
          <w:tab w:val="right" w:leader="none" w:pos="0"/>
        </w:tabs>
        <w:spacing w:after="0" w:before="0" w:lineRule="auto"/>
        <w:jc w:val="both"/>
        <w:rPr>
          <w:rFonts w:ascii="Calibri" w:cs="Calibri" w:eastAsia="Calibri" w:hAnsi="Calibri"/>
          <w:sz w:val="22"/>
          <w:szCs w:val="22"/>
        </w:rPr>
      </w:pPr>
      <w:r w:rsidDel="00000000" w:rsidR="00000000" w:rsidRPr="00000000">
        <w:rPr>
          <w:rFonts w:ascii="Times New Roman" w:cs="Times New Roman" w:eastAsia="Times New Roman" w:hAnsi="Times New Roman"/>
          <w:sz w:val="22"/>
          <w:szCs w:val="22"/>
          <w:rtl w:val="0"/>
        </w:rPr>
        <w:t xml:space="preserve">Within 15 working days after the Notification of award all goods must be delivered by the supplier</w:t>
      </w:r>
      <w:r w:rsidDel="00000000" w:rsidR="00000000" w:rsidRPr="00000000">
        <w:rPr>
          <w:rtl w:val="0"/>
        </w:rPr>
      </w:r>
    </w:p>
    <w:p w:rsidR="00000000" w:rsidDel="00000000" w:rsidP="00000000" w:rsidRDefault="00000000" w:rsidRPr="00000000" w14:paraId="0000003F">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35nkun2" w:id="17"/>
      <w:bookmarkEnd w:id="17"/>
      <w:r w:rsidDel="00000000" w:rsidR="00000000" w:rsidRPr="00000000">
        <w:rPr>
          <w:rFonts w:ascii="Times New Roman" w:cs="Times New Roman" w:eastAsia="Times New Roman" w:hAnsi="Times New Roman"/>
          <w:b w:val="1"/>
          <w:sz w:val="24"/>
          <w:szCs w:val="24"/>
          <w:rtl w:val="0"/>
        </w:rPr>
        <w:t xml:space="preserve">Article 15</w:t>
        <w:tab/>
        <w:t xml:space="preserve">Quality of supplies</w:t>
      </w:r>
    </w:p>
    <w:p w:rsidR="00000000" w:rsidDel="00000000" w:rsidP="00000000" w:rsidRDefault="00000000" w:rsidRPr="00000000" w14:paraId="00000040">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All supplies offered have to be new, unused and with no technical or visual defects</w:t>
      </w:r>
    </w:p>
    <w:p w:rsidR="00000000" w:rsidDel="00000000" w:rsidP="00000000" w:rsidRDefault="00000000" w:rsidRPr="00000000" w14:paraId="00000041">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1ksv4uv" w:id="18"/>
      <w:bookmarkEnd w:id="18"/>
      <w:r w:rsidDel="00000000" w:rsidR="00000000" w:rsidRPr="00000000">
        <w:rPr>
          <w:rFonts w:ascii="Times New Roman" w:cs="Times New Roman" w:eastAsia="Times New Roman" w:hAnsi="Times New Roman"/>
          <w:b w:val="1"/>
          <w:sz w:val="24"/>
          <w:szCs w:val="24"/>
          <w:rtl w:val="0"/>
        </w:rPr>
        <w:t xml:space="preserve">Article 16</w:t>
        <w:tab/>
        <w:t xml:space="preserve">Inspection and testing</w:t>
      </w:r>
    </w:p>
    <w:p w:rsidR="00000000" w:rsidDel="00000000" w:rsidP="00000000" w:rsidRDefault="00000000" w:rsidRPr="00000000" w14:paraId="00000042">
      <w:pPr>
        <w:tabs>
          <w:tab w:val="right" w:leader="none" w:pos="0"/>
        </w:tabs>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N/A</w:t>
      </w:r>
      <w:r w:rsidDel="00000000" w:rsidR="00000000" w:rsidRPr="00000000">
        <w:rPr>
          <w:rtl w:val="0"/>
        </w:rPr>
      </w:r>
    </w:p>
    <w:p w:rsidR="00000000" w:rsidDel="00000000" w:rsidP="00000000" w:rsidRDefault="00000000" w:rsidRPr="00000000" w14:paraId="00000043">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44sinio" w:id="19"/>
      <w:bookmarkEnd w:id="19"/>
      <w:r w:rsidDel="00000000" w:rsidR="00000000" w:rsidRPr="00000000">
        <w:rPr>
          <w:rFonts w:ascii="Times New Roman" w:cs="Times New Roman" w:eastAsia="Times New Roman" w:hAnsi="Times New Roman"/>
          <w:b w:val="1"/>
          <w:sz w:val="24"/>
          <w:szCs w:val="24"/>
          <w:rtl w:val="0"/>
        </w:rPr>
        <w:t xml:space="preserve">Article 17</w:t>
        <w:tab/>
        <w:t xml:space="preserve">General principles for payments</w:t>
      </w:r>
    </w:p>
    <w:p w:rsidR="00000000" w:rsidDel="00000000" w:rsidP="00000000" w:rsidRDefault="00000000" w:rsidRPr="00000000" w14:paraId="00000044">
      <w:pPr>
        <w:tabs>
          <w:tab w:val="right" w:leader="none" w:pos="0"/>
          <w:tab w:val="right" w:leader="none" w:pos="9885"/>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Payments shall be made in TRY.</w:t>
      </w:r>
    </w:p>
    <w:p w:rsidR="00000000" w:rsidDel="00000000" w:rsidP="00000000" w:rsidRDefault="00000000" w:rsidRPr="00000000" w14:paraId="00000045">
      <w:pPr>
        <w:tabs>
          <w:tab w:val="right" w:leader="none" w:pos="0"/>
          <w:tab w:val="right" w:leader="none" w:pos="9885"/>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Pre-financing is not applicable to this contract.</w:t>
      </w:r>
    </w:p>
    <w:p w:rsidR="00000000" w:rsidDel="00000000" w:rsidP="00000000" w:rsidRDefault="00000000" w:rsidRPr="00000000" w14:paraId="00000046">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Payments shall be authorised and made by ROMAN GİRİŞİMCİLİĞİNİ GELİŞTİRME İNİSİYATİFİ DERNEĞİ will make the payment via bank transfer from its T.C. Ziraat Bankası accounts to the bank account specified by the awarded supplier.</w:t>
      </w:r>
    </w:p>
    <w:p w:rsidR="00000000" w:rsidDel="00000000" w:rsidP="00000000" w:rsidRDefault="00000000" w:rsidRPr="00000000" w14:paraId="00000047">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tab/>
        <w:t xml:space="preserve">By derogation/ agreement of both parties, the final payment to the contractor of the amounts due shall be made within 10 days after receipt by the contracting authority of an invoice and of the application for the certificate of provisional acceptance.</w:t>
      </w:r>
    </w:p>
    <w:p w:rsidR="00000000" w:rsidDel="00000000" w:rsidP="00000000" w:rsidRDefault="00000000" w:rsidRPr="00000000" w14:paraId="00000048">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tab/>
        <w:t xml:space="preserve">In order to obtain payments, the contractor must forward to the authority referred to in paragraph 26.1 above:</w:t>
      </w:r>
    </w:p>
    <w:p w:rsidR="00000000" w:rsidDel="00000000" w:rsidP="00000000" w:rsidRDefault="00000000" w:rsidRPr="00000000" w14:paraId="00000049">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r w:rsidDel="00000000" w:rsidR="00000000" w:rsidRPr="00000000">
        <w:rPr>
          <w:rFonts w:ascii="Times New Roman" w:cs="Times New Roman" w:eastAsia="Times New Roman" w:hAnsi="Times New Roman"/>
          <w:b w:val="1"/>
          <w:sz w:val="22"/>
          <w:szCs w:val="22"/>
          <w:rtl w:val="0"/>
        </w:rPr>
        <w:tab/>
      </w:r>
      <w:r w:rsidDel="00000000" w:rsidR="00000000" w:rsidRPr="00000000">
        <w:rPr>
          <w:rFonts w:ascii="Times New Roman" w:cs="Times New Roman" w:eastAsia="Times New Roman" w:hAnsi="Times New Roman"/>
          <w:sz w:val="22"/>
          <w:szCs w:val="22"/>
          <w:rtl w:val="0"/>
        </w:rPr>
        <w:t xml:space="preserve">By derogation from this article 26.5 of the general conditions, no pre-financing guarantee is required.</w:t>
      </w:r>
    </w:p>
    <w:p w:rsidR="00000000" w:rsidDel="00000000" w:rsidP="00000000" w:rsidRDefault="00000000" w:rsidRPr="00000000" w14:paraId="0000004A">
      <w:pPr>
        <w:tabs>
          <w:tab w:val="right" w:leader="none" w:pos="0"/>
        </w:tabs>
        <w:spacing w:after="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w:t>
      </w:r>
      <w:r w:rsidDel="00000000" w:rsidR="00000000" w:rsidRPr="00000000">
        <w:rPr>
          <w:rFonts w:ascii="Times New Roman" w:cs="Times New Roman" w:eastAsia="Times New Roman" w:hAnsi="Times New Roman"/>
          <w:b w:val="1"/>
          <w:sz w:val="22"/>
          <w:szCs w:val="22"/>
          <w:rtl w:val="0"/>
        </w:rPr>
        <w:tab/>
      </w:r>
      <w:r w:rsidDel="00000000" w:rsidR="00000000" w:rsidRPr="00000000">
        <w:rPr>
          <w:rFonts w:ascii="Times New Roman" w:cs="Times New Roman" w:eastAsia="Times New Roman" w:hAnsi="Times New Roman"/>
          <w:sz w:val="22"/>
          <w:szCs w:val="22"/>
          <w:rtl w:val="0"/>
        </w:rPr>
        <w:t xml:space="preserve">For the 100 % balance the invoice(s) in triplicate together with the request for provisional acceptance of the supplies.</w:t>
      </w:r>
    </w:p>
    <w:p w:rsidR="00000000" w:rsidDel="00000000" w:rsidP="00000000" w:rsidRDefault="00000000" w:rsidRPr="00000000" w14:paraId="0000004B">
      <w:pPr>
        <w:tabs>
          <w:tab w:val="right" w:leader="none" w:pos="0"/>
        </w:tabs>
        <w:spacing w:after="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C">
      <w:pPr>
        <w:tabs>
          <w:tab w:val="right" w:leader="none" w:pos="0"/>
        </w:tabs>
        <w:spacing w:after="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D">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2jxsxqh" w:id="20"/>
      <w:bookmarkEnd w:id="20"/>
      <w:r w:rsidDel="00000000" w:rsidR="00000000" w:rsidRPr="00000000">
        <w:rPr>
          <w:rFonts w:ascii="Times New Roman" w:cs="Times New Roman" w:eastAsia="Times New Roman" w:hAnsi="Times New Roman"/>
          <w:b w:val="1"/>
          <w:sz w:val="24"/>
          <w:szCs w:val="24"/>
          <w:rtl w:val="0"/>
        </w:rPr>
        <w:t xml:space="preserve">Article 18</w:t>
        <w:tab/>
        <w:t xml:space="preserve">Delayed payments</w:t>
      </w:r>
    </w:p>
    <w:p w:rsidR="00000000" w:rsidDel="00000000" w:rsidP="00000000" w:rsidRDefault="00000000" w:rsidRPr="00000000" w14:paraId="0000004E">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By derogation from Article 28.2 of the general conditions, once the deadline laid down in Article 26.3 has expired, the contractor shall, upon demand, be entitled to late-payment interest at the rate and for the period mentioned in the general conditions. The demand must be submitted within two months of receiving late payment.</w:t>
      </w:r>
    </w:p>
    <w:p w:rsidR="00000000" w:rsidDel="00000000" w:rsidP="00000000" w:rsidRDefault="00000000" w:rsidRPr="00000000" w14:paraId="0000004F">
      <w:pPr>
        <w:tabs>
          <w:tab w:val="right" w:leader="none" w:pos="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19</w:t>
        <w:tab/>
        <w:t xml:space="preserve">Delivery</w:t>
      </w:r>
    </w:p>
    <w:p w:rsidR="00000000" w:rsidDel="00000000" w:rsidP="00000000" w:rsidRDefault="00000000" w:rsidRPr="00000000" w14:paraId="00000050">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packaging shall become the property of the recipient subject to environmental considerations.</w:t>
      </w:r>
    </w:p>
    <w:p w:rsidR="00000000" w:rsidDel="00000000" w:rsidP="00000000" w:rsidRDefault="00000000" w:rsidRPr="00000000" w14:paraId="00000051">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products must be delivered with all the required transport documents. The contractor shall be responsible for resolving any issues arising from missing documentation. The packaging must be unopened, undamaged, and include all necessary markings.</w:t>
      </w:r>
    </w:p>
    <w:p w:rsidR="00000000" w:rsidDel="00000000" w:rsidP="00000000" w:rsidRDefault="00000000" w:rsidRPr="00000000" w14:paraId="00000052">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z337ya" w:id="21"/>
      <w:bookmarkEnd w:id="21"/>
      <w:r w:rsidDel="00000000" w:rsidR="00000000" w:rsidRPr="00000000">
        <w:rPr>
          <w:rFonts w:ascii="Times New Roman" w:cs="Times New Roman" w:eastAsia="Times New Roman" w:hAnsi="Times New Roman"/>
          <w:b w:val="1"/>
          <w:sz w:val="24"/>
          <w:szCs w:val="24"/>
          <w:rtl w:val="0"/>
        </w:rPr>
        <w:t xml:space="preserve">Article 20</w:t>
        <w:tab/>
        <w:t xml:space="preserve">Provisional acceptance</w:t>
      </w:r>
    </w:p>
    <w:p w:rsidR="00000000" w:rsidDel="00000000" w:rsidP="00000000" w:rsidRDefault="00000000" w:rsidRPr="00000000" w14:paraId="00000053">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certificate of provisional acceptance must be issued using the template in Annex C11. </w:t>
      </w:r>
    </w:p>
    <w:p w:rsidR="00000000" w:rsidDel="00000000" w:rsidP="00000000" w:rsidRDefault="00000000" w:rsidRPr="00000000" w14:paraId="00000054">
      <w:pPr>
        <w:tabs>
          <w:tab w:val="right" w:leader="none" w:pos="0"/>
        </w:tabs>
        <w:spacing w:before="240" w:lineRule="auto"/>
        <w:jc w:val="both"/>
        <w:rPr>
          <w:rFonts w:ascii="Times New Roman" w:cs="Times New Roman" w:eastAsia="Times New Roman" w:hAnsi="Times New Roman"/>
          <w:sz w:val="22"/>
          <w:szCs w:val="22"/>
        </w:rPr>
      </w:pPr>
      <w:bookmarkStart w:colFirst="0" w:colLast="0" w:name="_heading=h.3j2qqm3" w:id="22"/>
      <w:bookmarkEnd w:id="22"/>
      <w:r w:rsidDel="00000000" w:rsidR="00000000" w:rsidRPr="00000000">
        <w:rPr>
          <w:rFonts w:ascii="Times New Roman" w:cs="Times New Roman" w:eastAsia="Times New Roman" w:hAnsi="Times New Roman"/>
          <w:b w:val="1"/>
          <w:sz w:val="24"/>
          <w:szCs w:val="24"/>
          <w:rtl w:val="0"/>
        </w:rPr>
        <w:t xml:space="preserve">Article 21</w:t>
        <w:tab/>
        <w:t xml:space="preserve">Warranty obligations</w:t>
      </w:r>
      <w:r w:rsidDel="00000000" w:rsidR="00000000" w:rsidRPr="00000000">
        <w:rPr>
          <w:rtl w:val="0"/>
        </w:rPr>
      </w:r>
    </w:p>
    <w:p w:rsidR="00000000" w:rsidDel="00000000" w:rsidP="00000000" w:rsidRDefault="00000000" w:rsidRPr="00000000" w14:paraId="00000055">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warranty must remain valid for two years.</w:t>
      </w:r>
    </w:p>
    <w:p w:rsidR="00000000" w:rsidDel="00000000" w:rsidP="00000000" w:rsidRDefault="00000000" w:rsidRPr="00000000" w14:paraId="00000056">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1y810tw" w:id="23"/>
      <w:bookmarkEnd w:id="23"/>
      <w:r w:rsidDel="00000000" w:rsidR="00000000" w:rsidRPr="00000000">
        <w:rPr>
          <w:rFonts w:ascii="Times New Roman" w:cs="Times New Roman" w:eastAsia="Times New Roman" w:hAnsi="Times New Roman"/>
          <w:b w:val="1"/>
          <w:sz w:val="24"/>
          <w:szCs w:val="24"/>
          <w:rtl w:val="0"/>
        </w:rPr>
        <w:t xml:space="preserve">Article 22</w:t>
        <w:tab/>
        <w:t xml:space="preserve">After-sales service</w:t>
      </w:r>
    </w:p>
    <w:p w:rsidR="00000000" w:rsidDel="00000000" w:rsidP="00000000" w:rsidRDefault="00000000" w:rsidRPr="00000000" w14:paraId="00000057">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w:t>
      </w:r>
    </w:p>
    <w:p w:rsidR="00000000" w:rsidDel="00000000" w:rsidP="00000000" w:rsidRDefault="00000000" w:rsidRPr="00000000" w14:paraId="00000058">
      <w:pPr>
        <w:tabs>
          <w:tab w:val="right" w:leader="none" w:pos="0"/>
        </w:tabs>
        <w:spacing w:before="240" w:lineRule="auto"/>
        <w:jc w:val="both"/>
        <w:rPr>
          <w:rFonts w:ascii="Times New Roman" w:cs="Times New Roman" w:eastAsia="Times New Roman" w:hAnsi="Times New Roman"/>
          <w:b w:val="1"/>
          <w:sz w:val="24"/>
          <w:szCs w:val="24"/>
        </w:rPr>
      </w:pPr>
      <w:bookmarkStart w:colFirst="0" w:colLast="0" w:name="_heading=h.4i7ojhp" w:id="24"/>
      <w:bookmarkEnd w:id="24"/>
      <w:r w:rsidDel="00000000" w:rsidR="00000000" w:rsidRPr="00000000">
        <w:rPr>
          <w:rFonts w:ascii="Times New Roman" w:cs="Times New Roman" w:eastAsia="Times New Roman" w:hAnsi="Times New Roman"/>
          <w:b w:val="1"/>
          <w:sz w:val="24"/>
          <w:szCs w:val="24"/>
          <w:rtl w:val="0"/>
        </w:rPr>
        <w:t xml:space="preserve">Article 23</w:t>
        <w:tab/>
        <w:t xml:space="preserve">Settlement of disputes</w:t>
      </w:r>
    </w:p>
    <w:p w:rsidR="00000000" w:rsidDel="00000000" w:rsidP="00000000" w:rsidRDefault="00000000" w:rsidRPr="00000000" w14:paraId="00000059">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Any disputes arising out of or relating to this contract which cannot be settled otherwise shall be referred to the exclusive jurisdiction of Türkiye in accordance with the national legislation of the state of the contracting authority. </w:t>
      </w:r>
    </w:p>
    <w:p w:rsidR="00000000" w:rsidDel="00000000" w:rsidP="00000000" w:rsidRDefault="00000000" w:rsidRPr="00000000" w14:paraId="0000005A">
      <w:pPr>
        <w:keepNext w:val="1"/>
        <w:keepLines w:val="1"/>
        <w:tabs>
          <w:tab w:val="right" w:leader="none" w:pos="0"/>
          <w:tab w:val="left" w:leader="none" w:pos="1134"/>
        </w:tabs>
        <w:spacing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24</w:t>
        <w:tab/>
        <w:t xml:space="preserve">Data protection</w:t>
      </w:r>
    </w:p>
    <w:p w:rsidR="00000000" w:rsidDel="00000000" w:rsidP="00000000" w:rsidRDefault="00000000" w:rsidRPr="00000000" w14:paraId="0000005B">
      <w:pPr>
        <w:tabs>
          <w:tab w:val="right" w:leader="none" w:pos="0"/>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Processing of personal data related to the implementation of the contract by the contracting authority takes place in accordance with the national legislation of the state of the contracting authority and with the provisions of the respective financing agreement.</w:t>
      </w:r>
    </w:p>
    <w:p w:rsidR="00000000" w:rsidDel="00000000" w:rsidP="00000000" w:rsidRDefault="00000000" w:rsidRPr="00000000" w14:paraId="0000005C">
      <w:pPr>
        <w:tabs>
          <w:tab w:val="right" w:leader="none" w:pos="0"/>
        </w:tabs>
        <w:jc w:val="both"/>
        <w:rPr>
          <w:rFonts w:ascii="Times New Roman" w:cs="Times New Roman" w:eastAsia="Times New Roman" w:hAnsi="Times New Roman"/>
          <w:sz w:val="22"/>
          <w:szCs w:val="22"/>
          <w:u w:val="single"/>
        </w:rPr>
      </w:pPr>
      <w:r w:rsidDel="00000000" w:rsidR="00000000" w:rsidRPr="00000000">
        <w:rPr>
          <w:rFonts w:ascii="Times New Roman" w:cs="Times New Roman" w:eastAsia="Times New Roman" w:hAnsi="Times New Roman"/>
          <w:sz w:val="22"/>
          <w:szCs w:val="22"/>
          <w:rtl w:val="0"/>
        </w:rPr>
        <w:t xml:space="preserve">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personnel,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Del="00000000" w:rsidR="00000000" w:rsidRPr="00000000">
        <w:rPr>
          <w:rFonts w:ascii="Times New Roman" w:cs="Times New Roman" w:eastAsia="Times New Roman" w:hAnsi="Times New Roman"/>
          <w:sz w:val="22"/>
          <w:szCs w:val="22"/>
          <w:vertAlign w:val="superscript"/>
        </w:rPr>
        <w:footnoteReference w:customMarkFollows="0" w:id="0"/>
      </w:r>
      <w:r w:rsidDel="00000000" w:rsidR="00000000" w:rsidRPr="00000000">
        <w:rPr>
          <w:rFonts w:ascii="Times New Roman" w:cs="Times New Roman" w:eastAsia="Times New Roman" w:hAnsi="Times New Roman"/>
          <w:sz w:val="22"/>
          <w:szCs w:val="22"/>
          <w:rtl w:val="0"/>
        </w:rPr>
        <w:t xml:space="preserve"> and as detailed in the specific privacy statement published at ePRAG.</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right" w:leader="none" w:pos="0"/>
        </w:tabs>
        <w:spacing w:after="240" w:before="360" w:lineRule="auto"/>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 *</w:t>
      </w:r>
    </w:p>
    <w:sectPr>
      <w:footerReference r:id="rId10" w:type="default"/>
      <w:footerReference r:id="rId11" w:type="first"/>
      <w:footerReference r:id="rId12" w:type="even"/>
      <w:pgSz w:h="16838" w:w="11906" w:orient="portrait"/>
      <w:pgMar w:bottom="1276" w:top="1134" w:left="1701" w:right="1133" w:header="720" w:footer="31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320"/>
        <w:tab w:val="right" w:leader="none" w:pos="8640"/>
        <w:tab w:val="right" w:leader="none" w:pos="8647"/>
      </w:tabs>
      <w:spacing w:after="0" w:lineRule="auto"/>
      <w:ind w:right="6"/>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2">
    <w:pPr>
      <w:spacing w:after="0" w:before="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c4d_specialconditions_en.doc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color w:val="000000"/>
        <w:rtl w:val="0"/>
      </w:rPr>
      <w:t xml:space="preserve">2006</w:t>
      <w:tab/>
      <w:tab/>
      <w:tab/>
      <w:tab/>
      <w:tab/>
      <w:tab/>
      <w:tab/>
      <w:tab/>
      <w:tab/>
      <w:tab/>
      <w:tab/>
      <w:tab/>
      <w:tab/>
      <w:tab/>
      <w:tab/>
      <w:tab/>
      <w:tab/>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E">
      <w:pPr>
        <w:pBdr>
          <w:top w:space="0" w:sz="0" w:val="nil"/>
          <w:left w:space="0" w:sz="0" w:val="nil"/>
          <w:bottom w:space="0" w:sz="0" w:val="nil"/>
          <w:right w:space="0" w:sz="0" w:val="nil"/>
          <w:between w:space="0" w:sz="0" w:val="nil"/>
        </w:pBdr>
        <w:spacing w:before="0" w:lineRule="auto"/>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OJ L 205 of 21.11.2018, p. 39</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spacing w:after="120" w:before="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1287" w:hanging="36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3447" w:hanging="360"/>
    </w:pPr>
    <w:rPr>
      <w:b w:val="1"/>
      <w:sz w:val="24"/>
      <w:szCs w:val="24"/>
    </w:rPr>
  </w:style>
  <w:style w:type="paragraph" w:styleId="Heading5">
    <w:name w:val="heading 5"/>
    <w:basedOn w:val="Normal"/>
    <w:next w:val="Normal"/>
    <w:pPr>
      <w:spacing w:after="60" w:before="240" w:lineRule="auto"/>
      <w:ind w:left="4167" w:hanging="36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Balk7">
    <w:name w:val="heading 7"/>
    <w:basedOn w:val="Normal"/>
    <w:next w:val="Normal"/>
    <w:link w:val="Balk7Char"/>
    <w:qFormat w:val="1"/>
    <w:pPr>
      <w:numPr>
        <w:ilvl w:val="6"/>
        <w:numId w:val="2"/>
      </w:numPr>
      <w:spacing w:after="60" w:before="240"/>
      <w:outlineLvl w:val="6"/>
    </w:pPr>
    <w:rPr>
      <w:lang w:val="sv-SE"/>
    </w:rPr>
  </w:style>
  <w:style w:type="paragraph" w:styleId="Balk8">
    <w:name w:val="heading 8"/>
    <w:basedOn w:val="Normal"/>
    <w:next w:val="Normal"/>
    <w:link w:val="Balk8Char"/>
    <w:qFormat w:val="1"/>
    <w:pPr>
      <w:numPr>
        <w:ilvl w:val="7"/>
        <w:numId w:val="2"/>
      </w:numPr>
      <w:spacing w:after="60" w:before="240"/>
      <w:outlineLvl w:val="7"/>
    </w:pPr>
    <w:rPr>
      <w:i w:val="1"/>
      <w:lang w:val="sv-SE"/>
    </w:rPr>
  </w:style>
  <w:style w:type="paragraph" w:styleId="Balk9">
    <w:name w:val="heading 9"/>
    <w:basedOn w:val="Normal"/>
    <w:next w:val="Normal"/>
    <w:link w:val="Balk9Char"/>
    <w:qFormat w:val="1"/>
    <w:pPr>
      <w:numPr>
        <w:ilvl w:val="8"/>
        <w:numId w:val="2"/>
      </w:numPr>
      <w:spacing w:after="60" w:before="240"/>
      <w:outlineLvl w:val="8"/>
    </w:pPr>
    <w:rPr>
      <w:b w:val="1"/>
      <w:i w:val="1"/>
      <w:sz w:val="18"/>
      <w:lang w:val="sv-SE"/>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GvdeMetniGirintisi">
    <w:name w:val="Body Text Indent"/>
    <w:basedOn w:val="Normal"/>
    <w:link w:val="GvdeMetniGirintisiChar"/>
    <w:pPr>
      <w:tabs>
        <w:tab w:val="num" w:pos="567"/>
      </w:tabs>
      <w:spacing w:after="0" w:before="0"/>
      <w:jc w:val="both"/>
    </w:pPr>
    <w:rPr>
      <w:rFonts w:ascii="Times New Roman" w:hAnsi="Times New Roman"/>
      <w:sz w:val="24"/>
      <w:lang w:val="sv-SE"/>
    </w:rPr>
  </w:style>
  <w:style w:type="paragraph" w:styleId="GvdeMetni">
    <w:name w:val="Body Text"/>
    <w:basedOn w:val="Normal"/>
    <w:link w:val="GvdeMetniChar"/>
    <w:rPr>
      <w:lang w:val="sv-SE"/>
    </w:rPr>
  </w:style>
  <w:style w:type="paragraph" w:styleId="GvdeMetniGirintisi2">
    <w:name w:val="Body Text Indent 2"/>
    <w:basedOn w:val="Normal"/>
    <w:link w:val="GvdeMetniGirintisi2Char"/>
    <w:pPr>
      <w:tabs>
        <w:tab w:val="num" w:pos="567"/>
        <w:tab w:val="num" w:pos="2160"/>
      </w:tabs>
      <w:spacing w:after="240"/>
      <w:ind w:left="567" w:hanging="567"/>
      <w:jc w:val="both"/>
    </w:pPr>
    <w:rPr>
      <w:sz w:val="24"/>
      <w:u w:val="single"/>
      <w:lang w:val="sv-SE"/>
    </w:rPr>
  </w:style>
  <w:style w:type="paragraph" w:styleId="GvdeMetniGirintisi3">
    <w:name w:val="Body Text Indent 3"/>
    <w:basedOn w:val="Normal"/>
    <w:link w:val="GvdeMetniGirintisi3Char"/>
    <w:pPr>
      <w:tabs>
        <w:tab w:val="left" w:pos="1276"/>
      </w:tabs>
      <w:ind w:left="1276" w:hanging="425"/>
      <w:jc w:val="both"/>
    </w:pPr>
    <w:rPr>
      <w:sz w:val="24"/>
      <w:lang w:val="sv-SE"/>
    </w:rPr>
  </w:style>
  <w:style w:type="paragraph" w:styleId="Text3" w:customStyle="1">
    <w:name w:val="Text 3"/>
    <w:basedOn w:val="Normal"/>
    <w:pPr>
      <w:tabs>
        <w:tab w:val="left" w:pos="2302"/>
      </w:tabs>
      <w:spacing w:after="240"/>
      <w:ind w:left="1202"/>
      <w:jc w:val="both"/>
    </w:pPr>
    <w:rPr>
      <w:sz w:val="24"/>
    </w:rPr>
  </w:style>
  <w:style w:type="paragraph" w:styleId="stBilgi">
    <w:name w:val="header"/>
    <w:basedOn w:val="Normal"/>
    <w:link w:val="stBilgiChar"/>
    <w:pPr>
      <w:tabs>
        <w:tab w:val="center" w:pos="4320"/>
        <w:tab w:val="right" w:pos="8640"/>
      </w:tabs>
    </w:pPr>
    <w:rPr>
      <w:lang w:val="sv-SE"/>
    </w:rPr>
  </w:style>
  <w:style w:type="paragraph" w:styleId="AltBilgi">
    <w:name w:val="footer"/>
    <w:basedOn w:val="Normal"/>
    <w:link w:val="AltBilgiChar"/>
    <w:uiPriority w:val="99"/>
    <w:pPr>
      <w:tabs>
        <w:tab w:val="center" w:pos="4320"/>
        <w:tab w:val="right" w:pos="8640"/>
      </w:tabs>
    </w:pPr>
    <w:rPr>
      <w:lang w:val="sv-SE"/>
    </w:rPr>
  </w:style>
  <w:style w:type="character" w:styleId="SayfaNumaras">
    <w:name w:val="page number"/>
    <w:basedOn w:val="VarsaylanParagrafYazTipi"/>
  </w:style>
  <w:style w:type="paragraph" w:styleId="GvdeMetni3">
    <w:name w:val="Body Text 3"/>
    <w:basedOn w:val="Normal"/>
    <w:link w:val="GvdeMetni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Kpr">
    <w:name w:val="Hyperlink"/>
    <w:rPr>
      <w:color w:val="0000ff"/>
      <w:u w:val="single"/>
    </w:rPr>
  </w:style>
  <w:style w:type="paragraph" w:styleId="DipnotMetni">
    <w:name w:val="footnote text"/>
    <w:aliases w:val="Schriftart: 9 pt,Schriftart: 10 pt,Schriftart: 8 pt,WB-Fußnotentext,FoodNote,ft,Footnote,Footnote Text Char Char,Footnote Text Char1 Char Char,Footnote Text Char Char Char Char,fn,f,Voetnoottekst Char,Footnote Text Char1 Cha"/>
    <w:basedOn w:val="Normal"/>
    <w:autoRedefine w:val="1"/>
    <w:qFormat w:val="1"/>
    <w:rsid w:val="001020D9"/>
    <w:pPr>
      <w:spacing w:before="0"/>
    </w:pPr>
    <w:rPr>
      <w:rFonts w:ascii="Times New Roman" w:hAnsi="Times New Roman"/>
      <w:lang w:val="fr-FR"/>
    </w:rPr>
  </w:style>
  <w:style w:type="character" w:styleId="DipnotBavurusu">
    <w:name w:val="footnote reference"/>
    <w:aliases w:val="Footnote symbol,Times 10 Point,Exposant 3 Point, Exposant 3 Point,Footnote number,Footnote Reference Number,Footnote reference number,Footnote Reference Superscript,EN Footnote Reference,note TESI,Voetnootverwijzing,fr,o,FR,FR1,note T"/>
    <w:qFormat w:val="1"/>
    <w:rPr>
      <w:vertAlign w:val="superscript"/>
    </w:rPr>
  </w:style>
  <w:style w:type="paragraph" w:styleId="BelgeBalantlar">
    <w:name w:val="Document Map"/>
    <w:basedOn w:val="Normal"/>
    <w:link w:val="BelgeBalantlarChar"/>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styleId="SubTitle1" w:customStyle="1">
    <w:name w:val="SubTitle 1"/>
    <w:basedOn w:val="Normal"/>
    <w:next w:val="SubTitle2"/>
    <w:pPr>
      <w:spacing w:after="240"/>
      <w:jc w:val="center"/>
    </w:pPr>
    <w:rPr>
      <w:b w:val="1"/>
      <w:sz w:val="40"/>
    </w:rPr>
  </w:style>
  <w:style w:type="paragraph" w:styleId="SubTitle2" w:customStyle="1">
    <w:name w:val="SubTitle 2"/>
    <w:basedOn w:val="Normal"/>
    <w:pPr>
      <w:spacing w:after="240"/>
      <w:jc w:val="center"/>
    </w:pPr>
    <w:rPr>
      <w:b w:val="1"/>
      <w:sz w:val="32"/>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link w:val="GvdeMetni2Char"/>
    <w:rsid w:val="00AE7D13"/>
    <w:pPr>
      <w:tabs>
        <w:tab w:val="num" w:pos="567"/>
      </w:tabs>
      <w:spacing w:after="0" w:before="0"/>
      <w:jc w:val="both"/>
    </w:pPr>
    <w:rPr>
      <w:rFonts w:ascii="Times New Roman" w:hAnsi="Times New Roman"/>
      <w:snapToGrid w:val="1"/>
      <w:sz w:val="24"/>
      <w:lang w:eastAsia="en-GB" w:val="sv-SE"/>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DE13B8"/>
    <w:rPr>
      <w:rFonts w:ascii="Tahoma" w:cs="Tahoma" w:hAnsi="Tahoma"/>
      <w:sz w:val="16"/>
      <w:szCs w:val="16"/>
    </w:rPr>
  </w:style>
  <w:style w:type="paragraph" w:styleId="StyleHeading1TimesNewRoman14ptItalic" w:customStyle="1">
    <w:name w:val="Style Heading 1 + Times New Roman 14 pt Italic"/>
    <w:basedOn w:val="Balk1"/>
    <w:autoRedefine w:val="1"/>
    <w:rsid w:val="0047783A"/>
    <w:pPr>
      <w:numPr>
        <w:numId w:val="1"/>
      </w:numPr>
    </w:pPr>
    <w:rPr>
      <w:rFonts w:ascii="Times New Roman" w:hAnsi="Times New Roman"/>
      <w:bCs w:val="1"/>
      <w:iCs w:val="1"/>
      <w:sz w:val="24"/>
      <w:szCs w:val="24"/>
    </w:rPr>
  </w:style>
  <w:style w:type="character" w:styleId="Balk2Char" w:customStyle="1">
    <w:name w:val="Başlık 2 Char"/>
    <w:link w:val="Balk2"/>
    <w:semiHidden w:val="1"/>
    <w:locked w:val="1"/>
    <w:rsid w:val="0047783A"/>
    <w:rPr>
      <w:rFonts w:ascii="Arial" w:hAnsi="Arial"/>
      <w:snapToGrid w:val="0"/>
      <w:lang w:bidi="ar-SA" w:eastAsia="en-US" w:val="fr-BE"/>
    </w:rPr>
  </w:style>
  <w:style w:type="character" w:styleId="Balk1Char" w:customStyle="1">
    <w:name w:val="Başlık 1 Char"/>
    <w:link w:val="Balk1"/>
    <w:rsid w:val="0047783A"/>
    <w:rPr>
      <w:rFonts w:ascii="Arial" w:hAnsi="Arial"/>
      <w:b w:val="1"/>
      <w:snapToGrid w:val="0"/>
      <w:lang w:bidi="ar-SA" w:eastAsia="en-US" w:val="fr-BE"/>
    </w:rPr>
  </w:style>
  <w:style w:type="character" w:styleId="Heading1Char" w:customStyle="1">
    <w:name w:val="Heading 1 Char"/>
    <w:locked w:val="1"/>
    <w:rsid w:val="0047783A"/>
    <w:rPr>
      <w:b w:val="1"/>
      <w:sz w:val="24"/>
      <w:szCs w:val="24"/>
      <w:lang w:bidi="ar-SA" w:eastAsia="en-US" w:val="en-GB"/>
    </w:rPr>
  </w:style>
  <w:style w:type="character" w:styleId="Balk3Char" w:customStyle="1">
    <w:name w:val="Başlık 3 Char"/>
    <w:link w:val="Balk3"/>
    <w:semiHidden w:val="1"/>
    <w:locked w:val="1"/>
    <w:rsid w:val="0047783A"/>
    <w:rPr>
      <w:rFonts w:ascii="Arial" w:hAnsi="Arial"/>
      <w:snapToGrid w:val="0"/>
      <w:lang w:bidi="ar-SA" w:eastAsia="en-US" w:val="en-GB"/>
    </w:rPr>
  </w:style>
  <w:style w:type="character" w:styleId="Balk4Char" w:customStyle="1">
    <w:name w:val="Başlık 4 Char"/>
    <w:link w:val="Balk4"/>
    <w:semiHidden w:val="1"/>
    <w:locked w:val="1"/>
    <w:rsid w:val="0047783A"/>
    <w:rPr>
      <w:rFonts w:ascii="Arial" w:hAnsi="Arial"/>
      <w:b w:val="1"/>
      <w:snapToGrid w:val="0"/>
      <w:sz w:val="24"/>
      <w:lang w:bidi="ar-SA" w:eastAsia="en-US" w:val="sv-SE"/>
    </w:rPr>
  </w:style>
  <w:style w:type="character" w:styleId="Balk5Char" w:customStyle="1">
    <w:name w:val="Başlık 5 Char"/>
    <w:link w:val="Balk5"/>
    <w:semiHidden w:val="1"/>
    <w:locked w:val="1"/>
    <w:rsid w:val="0047783A"/>
    <w:rPr>
      <w:rFonts w:ascii="Arial" w:hAnsi="Arial"/>
      <w:snapToGrid w:val="0"/>
      <w:sz w:val="22"/>
      <w:lang w:bidi="ar-SA" w:eastAsia="en-US" w:val="sv-SE"/>
    </w:rPr>
  </w:style>
  <w:style w:type="character" w:styleId="Balk6Char" w:customStyle="1">
    <w:name w:val="Başlık 6 Char"/>
    <w:link w:val="Balk6"/>
    <w:semiHidden w:val="1"/>
    <w:locked w:val="1"/>
    <w:rsid w:val="0047783A"/>
    <w:rPr>
      <w:rFonts w:ascii="Arial" w:hAnsi="Arial"/>
      <w:i w:val="1"/>
      <w:snapToGrid w:val="0"/>
      <w:sz w:val="22"/>
      <w:lang w:bidi="ar-SA" w:eastAsia="en-US" w:val="sv-SE"/>
    </w:rPr>
  </w:style>
  <w:style w:type="character" w:styleId="Balk7Char" w:customStyle="1">
    <w:name w:val="Başlık 7 Char"/>
    <w:link w:val="Balk7"/>
    <w:semiHidden w:val="1"/>
    <w:locked w:val="1"/>
    <w:rsid w:val="0047783A"/>
    <w:rPr>
      <w:rFonts w:ascii="Arial" w:hAnsi="Arial"/>
      <w:snapToGrid w:val="0"/>
      <w:lang w:bidi="ar-SA" w:eastAsia="en-US" w:val="sv-SE"/>
    </w:rPr>
  </w:style>
  <w:style w:type="character" w:styleId="Balk8Char" w:customStyle="1">
    <w:name w:val="Başlık 8 Char"/>
    <w:link w:val="Balk8"/>
    <w:semiHidden w:val="1"/>
    <w:locked w:val="1"/>
    <w:rsid w:val="0047783A"/>
    <w:rPr>
      <w:rFonts w:ascii="Arial" w:hAnsi="Arial"/>
      <w:i w:val="1"/>
      <w:snapToGrid w:val="0"/>
      <w:lang w:bidi="ar-SA" w:eastAsia="en-US" w:val="sv-SE"/>
    </w:rPr>
  </w:style>
  <w:style w:type="character" w:styleId="Balk9Char" w:customStyle="1">
    <w:name w:val="Başlık 9 Char"/>
    <w:link w:val="Balk9"/>
    <w:semiHidden w:val="1"/>
    <w:locked w:val="1"/>
    <w:rsid w:val="0047783A"/>
    <w:rPr>
      <w:rFonts w:ascii="Arial" w:hAnsi="Arial"/>
      <w:b w:val="1"/>
      <w:i w:val="1"/>
      <w:snapToGrid w:val="0"/>
      <w:sz w:val="18"/>
      <w:lang w:bidi="ar-SA" w:eastAsia="en-US" w:val="sv-SE"/>
    </w:rPr>
  </w:style>
  <w:style w:type="character" w:styleId="KonuBalChar" w:customStyle="1">
    <w:name w:val="Konu Başlığı Char"/>
    <w:link w:val="KonuBal"/>
    <w:locked w:val="1"/>
    <w:rsid w:val="0047783A"/>
    <w:rPr>
      <w:rFonts w:ascii="Arial" w:hAnsi="Arial"/>
      <w:b w:val="1"/>
      <w:snapToGrid w:val="0"/>
      <w:sz w:val="28"/>
      <w:lang w:bidi="ar-SA" w:eastAsia="en-US" w:val="fr-BE"/>
    </w:rPr>
  </w:style>
  <w:style w:type="character" w:styleId="AltyazChar" w:customStyle="1">
    <w:name w:val="Altyazı Char"/>
    <w:link w:val="Altyaz"/>
    <w:locked w:val="1"/>
    <w:rsid w:val="0047783A"/>
    <w:rPr>
      <w:rFonts w:ascii="Arial" w:hAnsi="Arial"/>
      <w:b w:val="1"/>
      <w:snapToGrid w:val="0"/>
      <w:sz w:val="28"/>
      <w:lang w:bidi="ar-SA" w:eastAsia="en-US" w:val="fr-BE"/>
    </w:rPr>
  </w:style>
  <w:style w:type="character" w:styleId="GvdeMetniGirintisiChar" w:customStyle="1">
    <w:name w:val="Gövde Metni Girintisi Char"/>
    <w:link w:val="GvdeMetniGirintisi"/>
    <w:semiHidden w:val="1"/>
    <w:locked w:val="1"/>
    <w:rsid w:val="0047783A"/>
    <w:rPr>
      <w:snapToGrid w:val="0"/>
      <w:sz w:val="24"/>
      <w:lang w:bidi="ar-SA" w:eastAsia="en-US" w:val="sv-SE"/>
    </w:rPr>
  </w:style>
  <w:style w:type="character" w:styleId="GvdeMetniChar" w:customStyle="1">
    <w:name w:val="Gövde Metni Char"/>
    <w:link w:val="GvdeMetni"/>
    <w:semiHidden w:val="1"/>
    <w:locked w:val="1"/>
    <w:rsid w:val="0047783A"/>
    <w:rPr>
      <w:rFonts w:ascii="Arial" w:hAnsi="Arial"/>
      <w:snapToGrid w:val="0"/>
      <w:lang w:bidi="ar-SA" w:eastAsia="en-US" w:val="sv-SE"/>
    </w:rPr>
  </w:style>
  <w:style w:type="character" w:styleId="GvdeMetniGirintisi2Char" w:customStyle="1">
    <w:name w:val="Gövde Metni Girintisi 2 Char"/>
    <w:link w:val="GvdeMetniGirintisi2"/>
    <w:semiHidden w:val="1"/>
    <w:locked w:val="1"/>
    <w:rsid w:val="0047783A"/>
    <w:rPr>
      <w:rFonts w:ascii="Arial" w:hAnsi="Arial"/>
      <w:snapToGrid w:val="0"/>
      <w:sz w:val="24"/>
      <w:u w:val="single"/>
      <w:lang w:bidi="ar-SA" w:eastAsia="en-US" w:val="sv-SE"/>
    </w:rPr>
  </w:style>
  <w:style w:type="character" w:styleId="GvdeMetniGirintisi3Char" w:customStyle="1">
    <w:name w:val="Gövde Metni Girintisi 3 Char"/>
    <w:link w:val="GvdeMetniGirintisi3"/>
    <w:semiHidden w:val="1"/>
    <w:locked w:val="1"/>
    <w:rsid w:val="0047783A"/>
    <w:rPr>
      <w:rFonts w:ascii="Arial" w:hAnsi="Arial"/>
      <w:snapToGrid w:val="0"/>
      <w:sz w:val="24"/>
      <w:lang w:bidi="ar-SA" w:eastAsia="en-US" w:val="sv-SE"/>
    </w:rPr>
  </w:style>
  <w:style w:type="character" w:styleId="stBilgiChar" w:customStyle="1">
    <w:name w:val="Üst Bilgi Char"/>
    <w:link w:val="stBilgi"/>
    <w:semiHidden w:val="1"/>
    <w:locked w:val="1"/>
    <w:rsid w:val="0047783A"/>
    <w:rPr>
      <w:rFonts w:ascii="Arial" w:hAnsi="Arial"/>
      <w:snapToGrid w:val="0"/>
      <w:lang w:bidi="ar-SA" w:eastAsia="en-US" w:val="sv-SE"/>
    </w:rPr>
  </w:style>
  <w:style w:type="character" w:styleId="AltBilgiChar" w:customStyle="1">
    <w:name w:val="Alt Bilgi Char"/>
    <w:link w:val="AltBilgi"/>
    <w:uiPriority w:val="99"/>
    <w:locked w:val="1"/>
    <w:rsid w:val="0047783A"/>
    <w:rPr>
      <w:rFonts w:ascii="Arial" w:hAnsi="Arial"/>
      <w:snapToGrid w:val="0"/>
      <w:lang w:bidi="ar-SA" w:eastAsia="en-US" w:val="sv-SE"/>
    </w:rPr>
  </w:style>
  <w:style w:type="character" w:styleId="GvdeMetni3Char" w:customStyle="1">
    <w:name w:val="Gövde Metni 3 Char"/>
    <w:link w:val="GvdeMetni3"/>
    <w:semiHidden w:val="1"/>
    <w:locked w:val="1"/>
    <w:rsid w:val="0047783A"/>
    <w:rPr>
      <w:rFonts w:ascii="Arial" w:hAnsi="Arial"/>
      <w:b w:val="1"/>
      <w:snapToGrid w:val="0"/>
      <w:sz w:val="24"/>
      <w:lang w:bidi="ar-SA" w:eastAsia="en-US" w:val="en-GB"/>
    </w:rPr>
  </w:style>
  <w:style w:type="character" w:styleId="FootnoteTextChar" w:customStyle="1">
    <w:name w:val="Footnote Text Char"/>
    <w:aliases w:val="Schriftart: 9 pt Char,Schriftart: 10 pt Char,Schriftart: 8 pt Char,WB-Fußnotentext Char,FoodNote Char,ft Char,Footnote Char,Footnote Text Char Char Char,Footnote Text Char1 Char Char Char,Footnote Text Char Char Char Char Char,fn Char"/>
    <w:locked w:val="1"/>
    <w:rsid w:val="0047783A"/>
    <w:rPr>
      <w:rFonts w:ascii="Arial" w:hAnsi="Arial"/>
      <w:snapToGrid w:val="0"/>
      <w:lang w:bidi="ar-SA" w:eastAsia="en-US" w:val="fr-FR"/>
    </w:rPr>
  </w:style>
  <w:style w:type="character" w:styleId="BelgeBalantlarChar" w:customStyle="1">
    <w:name w:val="Belge Bağlantıları Char"/>
    <w:link w:val="BelgeBalantlar"/>
    <w:semiHidden w:val="1"/>
    <w:locked w:val="1"/>
    <w:rsid w:val="0047783A"/>
    <w:rPr>
      <w:rFonts w:ascii="Arial" w:hAnsi="Arial"/>
      <w:snapToGrid w:val="0"/>
      <w:sz w:val="24"/>
      <w:lang w:bidi="ar-SA" w:eastAsia="en-US" w:val="fr-FR"/>
    </w:rPr>
  </w:style>
  <w:style w:type="character" w:styleId="GvdeMetni2Char" w:customStyle="1">
    <w:name w:val="Gövde Metni 2 Char"/>
    <w:link w:val="GvdeMetni2"/>
    <w:semiHidden w:val="1"/>
    <w:locked w:val="1"/>
    <w:rsid w:val="0047783A"/>
    <w:rPr>
      <w:sz w:val="24"/>
      <w:lang w:bidi="ar-SA" w:eastAsia="en-GB" w:val="sv-SE"/>
    </w:rPr>
  </w:style>
  <w:style w:type="paragraph" w:styleId="StyleHeading3" w:customStyle="1">
    <w:name w:val="Style Heading 3"/>
    <w:basedOn w:val="Normal"/>
    <w:rsid w:val="0047783A"/>
    <w:pPr>
      <w:tabs>
        <w:tab w:val="num" w:pos="567"/>
      </w:tabs>
      <w:ind w:left="1134" w:hanging="567"/>
    </w:pPr>
    <w:rPr>
      <w:snapToGrid w:val="1"/>
    </w:rPr>
  </w:style>
  <w:style w:type="paragraph" w:styleId="Style11ptBlackJustifiedRight001cmBefore865ptL" w:customStyle="1">
    <w:name w:val="Style 11 pt Black Justified Right:  001 cm Before:  865 pt L..."/>
    <w:basedOn w:val="Normal"/>
    <w:next w:val="Normal"/>
    <w:autoRedefine w:val="1"/>
    <w:rsid w:val="0047783A"/>
    <w:pPr>
      <w:numPr>
        <w:numId w:val="3"/>
      </w:numPr>
      <w:shd w:color="auto" w:fill="ffffff" w:val="clear"/>
      <w:tabs>
        <w:tab w:val="right" w:pos="1701"/>
      </w:tabs>
      <w:spacing w:before="60" w:line="212" w:lineRule="exact"/>
      <w:ind w:right="6"/>
      <w:jc w:val="both"/>
    </w:pPr>
    <w:rPr>
      <w:rFonts w:ascii="Times New Roman" w:hAnsi="Times New Roman"/>
      <w:snapToGrid w:val="1"/>
      <w:color w:val="000000"/>
      <w:sz w:val="22"/>
      <w:lang w:eastAsia="en-GB"/>
    </w:rPr>
  </w:style>
  <w:style w:type="character" w:styleId="SonnotBavurusu">
    <w:name w:val="endnote reference"/>
    <w:semiHidden w:val="1"/>
    <w:rsid w:val="0047783A"/>
    <w:rPr>
      <w:vertAlign w:val="superscript"/>
    </w:rPr>
  </w:style>
  <w:style w:type="paragraph" w:styleId="SonnotMetni">
    <w:name w:val="endnote text"/>
    <w:basedOn w:val="Normal"/>
    <w:semiHidden w:val="1"/>
    <w:rsid w:val="0047783A"/>
  </w:style>
  <w:style w:type="paragraph" w:styleId="NormalInd1" w:customStyle="1">
    <w:name w:val="Normal Ind 1"/>
    <w:basedOn w:val="Normal"/>
    <w:rsid w:val="0047783A"/>
    <w:pPr>
      <w:tabs>
        <w:tab w:val="left" w:pos="2268"/>
      </w:tabs>
      <w:overflowPunct w:val="0"/>
      <w:autoSpaceDE w:val="0"/>
      <w:autoSpaceDN w:val="0"/>
      <w:adjustRightInd w:val="0"/>
      <w:spacing w:after="0" w:before="0"/>
      <w:ind w:left="567"/>
      <w:textAlignment w:val="baseline"/>
    </w:pPr>
    <w:rPr>
      <w:rFonts w:ascii="Times New Roman" w:hAnsi="Times New Roman"/>
      <w:bCs w:val="1"/>
      <w:snapToGrid w:val="1"/>
      <w:sz w:val="22"/>
      <w:szCs w:val="22"/>
      <w:lang w:val="fr-FR"/>
    </w:rPr>
  </w:style>
  <w:style w:type="character" w:styleId="Style11pt" w:customStyle="1">
    <w:name w:val="Style 11 pt"/>
    <w:rsid w:val="0047783A"/>
    <w:rPr>
      <w:sz w:val="22"/>
    </w:rPr>
  </w:style>
  <w:style w:type="paragraph" w:styleId="Char2" w:customStyle="1">
    <w:name w:val="Char2"/>
    <w:basedOn w:val="Normal"/>
    <w:rsid w:val="0047783A"/>
    <w:pPr>
      <w:spacing w:after="160" w:before="0" w:line="240" w:lineRule="exact"/>
    </w:pPr>
    <w:rPr>
      <w:rFonts w:ascii="Tahoma" w:hAnsi="Tahoma"/>
      <w:snapToGrid w:val="1"/>
      <w:lang w:val="en-US"/>
    </w:rPr>
  </w:style>
  <w:style w:type="character" w:styleId="AklamaBavurusu">
    <w:name w:val="annotation reference"/>
    <w:uiPriority w:val="99"/>
    <w:semiHidden w:val="1"/>
    <w:rsid w:val="00EE23B1"/>
    <w:rPr>
      <w:sz w:val="16"/>
      <w:szCs w:val="16"/>
    </w:rPr>
  </w:style>
  <w:style w:type="paragraph" w:styleId="AklamaMetni">
    <w:name w:val="annotation text"/>
    <w:basedOn w:val="Normal"/>
    <w:link w:val="AklamaMetniChar"/>
    <w:semiHidden w:val="1"/>
    <w:rsid w:val="00EE23B1"/>
  </w:style>
  <w:style w:type="paragraph" w:styleId="AklamaKonusu">
    <w:name w:val="annotation subject"/>
    <w:basedOn w:val="AklamaMetni"/>
    <w:next w:val="AklamaMetni"/>
    <w:semiHidden w:val="1"/>
    <w:rsid w:val="00EE23B1"/>
    <w:rPr>
      <w:b w:val="1"/>
      <w:bCs w:val="1"/>
    </w:rPr>
  </w:style>
  <w:style w:type="paragraph" w:styleId="ListeNumaras">
    <w:name w:val="List Number"/>
    <w:basedOn w:val="Normal"/>
    <w:rsid w:val="00EB45CB"/>
    <w:pPr>
      <w:tabs>
        <w:tab w:val="num" w:pos="720"/>
      </w:tabs>
      <w:spacing w:after="240" w:before="0"/>
      <w:ind w:left="720" w:hanging="720"/>
      <w:jc w:val="both"/>
    </w:pPr>
    <w:rPr>
      <w:rFonts w:ascii="Times New Roman" w:hAnsi="Times New Roman"/>
      <w:snapToGrid w:val="1"/>
      <w:sz w:val="24"/>
    </w:rPr>
  </w:style>
  <w:style w:type="paragraph" w:styleId="ListNumberLevel2" w:customStyle="1">
    <w:name w:val="List Number (Level 2)"/>
    <w:basedOn w:val="Normal"/>
    <w:rsid w:val="00EB45CB"/>
    <w:pPr>
      <w:numPr>
        <w:ilvl w:val="1"/>
        <w:numId w:val="4"/>
      </w:numPr>
      <w:spacing w:after="240" w:before="0"/>
      <w:jc w:val="both"/>
    </w:pPr>
    <w:rPr>
      <w:rFonts w:ascii="Times New Roman" w:hAnsi="Times New Roman"/>
      <w:snapToGrid w:val="1"/>
      <w:sz w:val="24"/>
    </w:rPr>
  </w:style>
  <w:style w:type="paragraph" w:styleId="ListNumberLevel3" w:customStyle="1">
    <w:name w:val="List Number (Level 3)"/>
    <w:basedOn w:val="Normal"/>
    <w:rsid w:val="00EB45CB"/>
    <w:pPr>
      <w:numPr>
        <w:ilvl w:val="2"/>
        <w:numId w:val="4"/>
      </w:numPr>
      <w:spacing w:after="240" w:before="0"/>
      <w:jc w:val="both"/>
    </w:pPr>
    <w:rPr>
      <w:rFonts w:ascii="Times New Roman" w:hAnsi="Times New Roman"/>
      <w:snapToGrid w:val="1"/>
      <w:sz w:val="24"/>
    </w:rPr>
  </w:style>
  <w:style w:type="paragraph" w:styleId="ListNumberLevel4" w:customStyle="1">
    <w:name w:val="List Number (Level 4)"/>
    <w:basedOn w:val="Normal"/>
    <w:rsid w:val="00EB45CB"/>
    <w:pPr>
      <w:numPr>
        <w:ilvl w:val="3"/>
        <w:numId w:val="4"/>
      </w:numPr>
      <w:spacing w:after="240" w:before="0"/>
      <w:jc w:val="both"/>
    </w:pPr>
    <w:rPr>
      <w:rFonts w:ascii="Times New Roman" w:hAnsi="Times New Roman"/>
      <w:snapToGrid w:val="1"/>
      <w:sz w:val="24"/>
    </w:rPr>
  </w:style>
  <w:style w:type="character" w:styleId="AklamaMetniChar" w:customStyle="1">
    <w:name w:val="Açıklama Metni Char"/>
    <w:link w:val="AklamaMetni"/>
    <w:semiHidden w:val="1"/>
    <w:rsid w:val="00240B1F"/>
    <w:rPr>
      <w:rFonts w:ascii="Arial" w:hAnsi="Arial"/>
      <w:snapToGrid w:val="0"/>
      <w:lang w:eastAsia="en-US"/>
    </w:rPr>
  </w:style>
  <w:style w:type="paragraph" w:styleId="Dzeltme">
    <w:name w:val="Revision"/>
    <w:hidden w:val="1"/>
    <w:uiPriority w:val="99"/>
    <w:semiHidden w:val="1"/>
    <w:rsid w:val="00AB3A36"/>
    <w:rPr>
      <w:snapToGrid w:val="0"/>
      <w:lang w:eastAsia="en-US"/>
    </w:rPr>
  </w:style>
  <w:style w:type="paragraph" w:styleId="Default" w:customStyle="1">
    <w:name w:val="Default"/>
    <w:rsid w:val="00E76535"/>
    <w:pPr>
      <w:autoSpaceDE w:val="0"/>
      <w:autoSpaceDN w:val="0"/>
      <w:adjustRightInd w:val="0"/>
    </w:pPr>
    <w:rPr>
      <w:color w:val="000000"/>
      <w:sz w:val="24"/>
      <w:szCs w:val="24"/>
    </w:rPr>
  </w:style>
  <w:style w:type="paragraph" w:styleId="ListeParagraf">
    <w:name w:val="List Paragraph"/>
    <w:basedOn w:val="Normal"/>
    <w:uiPriority w:val="34"/>
    <w:qFormat w:val="1"/>
    <w:rsid w:val="00583FF3"/>
    <w:pPr>
      <w:spacing w:after="0" w:before="0"/>
      <w:ind w:left="720"/>
    </w:pPr>
    <w:rPr>
      <w:rFonts w:ascii="Calibri" w:eastAsia="Calibri" w:hAnsi="Calibri"/>
      <w:snapToGrid w:val="1"/>
      <w:sz w:val="22"/>
      <w:szCs w:val="22"/>
    </w:rPr>
  </w:style>
  <w:style w:type="paragraph" w:styleId="Text1" w:customStyle="1">
    <w:name w:val="Text 1"/>
    <w:basedOn w:val="Normal"/>
    <w:rsid w:val="00F0405C"/>
    <w:pPr>
      <w:spacing w:after="240" w:before="0"/>
      <w:ind w:left="482"/>
      <w:jc w:val="both"/>
    </w:pPr>
    <w:rPr>
      <w:rFonts w:ascii="Times New Roman" w:eastAsia="Calibri" w:hAnsi="Times New Roman"/>
      <w:snapToGrid w:val="1"/>
      <w:sz w:val="24"/>
      <w:szCs w:val="24"/>
    </w:rPr>
  </w:style>
  <w:style w:type="paragraph" w:styleId="Subtitle">
    <w:name w:val="Subtitle"/>
    <w:basedOn w:val="Normal"/>
    <w:next w:val="Normal"/>
    <w:pPr>
      <w:jc w:val="center"/>
    </w:pPr>
    <w:rPr>
      <w:b w:val="1"/>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yperlink" Target="https://www.resmigazete.gov.tr/eskiler/2022/09/20220921-1.ht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betul@redi-ngo.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sHsBrsgV2GIAt1ioDj720IV98w==">CgMxLjAyCGguZ2pkZ3hzMgloLjFmb2I5dGUyCWguM3pueXNoNzIJaC4yZXQ5MnAwMghoLnR5amN3dDIJaC4zZHk2dmttMgloLjF0M2g1c2YyCWguNGQzNG9nODIJaC4zMGowemxsMg5oLnZpYWw1NTIwYTEwdzIOaC5vMHY0ZTExdGdnYnMyDmguNGYzOG91M3JkbnViMgloLjJzOGV5bzEyCWguMTdkcDh2dTIJaC4zcmRjcmpuMgloLjI2aW4xcmcyCGgubG54Yno5MgloLjM1bmt1bjIyCWguMWtzdjR1djIJaC40NHNpbmlvMgloLjJqeHN4cWgyCGguejMzN3lhMgloLjNqMnFxbTMyCWguMXk4MTB0dzIJaC40aTdvamhwOAByITE1M2U4aHprTklOcFdnc2FiMWppUk9sRWxTb05hQWxa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2025-02-17T21:10:00Z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ies>
</file>