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numPr>
          <w:ilvl w:val="0"/>
          <w:numId w:val="1"/>
        </w:numPr>
        <w:tabs>
          <w:tab w:val="right" w:leader="none" w:pos="567"/>
          <w:tab w:val="right" w:leader="none" w:pos="0"/>
        </w:tabs>
        <w:ind w:left="0" w:firstLine="0"/>
        <w:jc w:val="center"/>
        <w:rPr>
          <w:rFonts w:ascii="Times New Roman" w:cs="Times New Roman" w:eastAsia="Times New Roman" w:hAnsi="Times New Roman"/>
          <w:i w:val="1"/>
          <w:sz w:val="28"/>
          <w:szCs w:val="28"/>
        </w:rPr>
      </w:pPr>
      <w:bookmarkStart w:colFirst="0" w:colLast="0" w:name="_heading=h.gjdgxs" w:id="0"/>
      <w:bookmarkEnd w:id="0"/>
      <w:r w:rsidDel="00000000" w:rsidR="00000000" w:rsidRPr="00000000">
        <w:rPr>
          <w:rFonts w:ascii="Times New Roman" w:cs="Times New Roman" w:eastAsia="Times New Roman" w:hAnsi="Times New Roman"/>
          <w:i w:val="1"/>
          <w:sz w:val="28"/>
          <w:szCs w:val="28"/>
          <w:rtl w:val="0"/>
        </w:rPr>
        <w:t xml:space="preserve">SPECIAL CONDITIONS</w:t>
      </w:r>
    </w:p>
    <w:p w:rsidR="00000000" w:rsidDel="00000000" w:rsidP="00000000" w:rsidRDefault="00000000" w:rsidRPr="00000000" w14:paraId="00000002">
      <w:pPr>
        <w:tabs>
          <w:tab w:val="right" w:leader="none" w:pos="0"/>
        </w:tabs>
        <w:spacing w:befor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CONTENTS</w:t>
      </w:r>
    </w:p>
    <w:p w:rsidR="00000000" w:rsidDel="00000000" w:rsidP="00000000" w:rsidRDefault="00000000" w:rsidRPr="00000000" w14:paraId="00000003">
      <w:pPr>
        <w:tabs>
          <w:tab w:val="right" w:leader="none" w:pos="0"/>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These conditions amplify and supplement, if necessary, the general conditions governing the contract. Unless the special conditions provide otherwise, those general conditions remain fully applicable. The numbering of the articles of the special conditions is not consecutive but follows the numbering of the articles of the general conditions. In exceptional cases, and with the authorisation of the appropriate Commission departments, other clauses may be added to cover specific situations.</w:t>
      </w:r>
    </w:p>
    <w:p w:rsidR="00000000" w:rsidDel="00000000" w:rsidP="00000000" w:rsidRDefault="00000000" w:rsidRPr="00000000" w14:paraId="00000004">
      <w:pPr>
        <w:tabs>
          <w:tab w:val="right" w:leader="none" w:pos="0"/>
        </w:tabs>
        <w:spacing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Article 1</w:t>
        <w:tab/>
        <w:t xml:space="preserve">Language of the contract</w:t>
      </w:r>
    </w:p>
    <w:p w:rsidR="00000000" w:rsidDel="00000000" w:rsidP="00000000" w:rsidRDefault="00000000" w:rsidRPr="00000000" w14:paraId="00000005">
      <w:pPr>
        <w:tabs>
          <w:tab w:val="right" w:leader="none" w:pos="0"/>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language used shall be English.</w:t>
      </w:r>
    </w:p>
    <w:p w:rsidR="00000000" w:rsidDel="00000000" w:rsidP="00000000" w:rsidRDefault="00000000" w:rsidRPr="00000000" w14:paraId="00000006">
      <w:pPr>
        <w:tabs>
          <w:tab w:val="right" w:leader="none" w:pos="0"/>
        </w:tabs>
        <w:spacing w:before="240" w:lineRule="auto"/>
        <w:jc w:val="both"/>
        <w:rPr>
          <w:rFonts w:ascii="Times New Roman" w:cs="Times New Roman" w:eastAsia="Times New Roman" w:hAnsi="Times New Roman"/>
          <w:b w:val="1"/>
          <w:sz w:val="24"/>
          <w:szCs w:val="24"/>
        </w:rPr>
      </w:pPr>
      <w:bookmarkStart w:colFirst="0" w:colLast="0" w:name="_heading=h.1fob9te" w:id="1"/>
      <w:bookmarkEnd w:id="1"/>
      <w:r w:rsidDel="00000000" w:rsidR="00000000" w:rsidRPr="00000000">
        <w:rPr>
          <w:rFonts w:ascii="Times New Roman" w:cs="Times New Roman" w:eastAsia="Times New Roman" w:hAnsi="Times New Roman"/>
          <w:b w:val="1"/>
          <w:sz w:val="24"/>
          <w:szCs w:val="24"/>
          <w:rtl w:val="0"/>
        </w:rPr>
        <w:t xml:space="preserve">Article 2</w:t>
        <w:tab/>
        <w:t xml:space="preserve">Communications</w:t>
      </w:r>
    </w:p>
    <w:p w:rsidR="00000000" w:rsidDel="00000000" w:rsidP="00000000" w:rsidRDefault="00000000" w:rsidRPr="00000000" w14:paraId="00000007">
      <w:pPr>
        <w:tabs>
          <w:tab w:val="right" w:leader="none" w:pos="0"/>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designated contact person for communication is Betül Güvender. All communication between the Contracting Parties will be exclusively in writing form. The official contact address is Bahçelievler, 1851/10. Sokak No:3, 35600 Karşıyaka, Izmir, and she can be reached by phone at +90 533 468 43 32 or via email at </w:t>
      </w:r>
      <w:hyperlink r:id="rId8">
        <w:r w:rsidDel="00000000" w:rsidR="00000000" w:rsidRPr="00000000">
          <w:rPr>
            <w:rFonts w:ascii="Times New Roman" w:cs="Times New Roman" w:eastAsia="Times New Roman" w:hAnsi="Times New Roman"/>
            <w:color w:val="0000ff"/>
            <w:sz w:val="22"/>
            <w:szCs w:val="22"/>
            <w:u w:val="single"/>
            <w:rtl w:val="0"/>
          </w:rPr>
          <w:t xml:space="preserve">betul@redi-ngo.eu</w:t>
        </w:r>
      </w:hyperlink>
      <w:r w:rsidDel="00000000" w:rsidR="00000000" w:rsidRPr="00000000">
        <w:rPr>
          <w:rFonts w:ascii="Times New Roman" w:cs="Times New Roman" w:eastAsia="Times New Roman" w:hAnsi="Times New Roman"/>
          <w:sz w:val="22"/>
          <w:szCs w:val="22"/>
          <w:rtl w:val="0"/>
        </w:rPr>
        <w:t xml:space="preserve"> . To ensure clarity and traceability, all official documents and communications will be exchanged exclusively through email. </w:t>
      </w:r>
    </w:p>
    <w:p w:rsidR="00000000" w:rsidDel="00000000" w:rsidP="00000000" w:rsidRDefault="00000000" w:rsidRPr="00000000" w14:paraId="00000008">
      <w:pPr>
        <w:tabs>
          <w:tab w:val="right" w:leader="none" w:pos="0"/>
        </w:tabs>
        <w:spacing w:before="240" w:lineRule="auto"/>
        <w:jc w:val="both"/>
        <w:rPr>
          <w:rFonts w:ascii="Times New Roman" w:cs="Times New Roman" w:eastAsia="Times New Roman" w:hAnsi="Times New Roman"/>
          <w:b w:val="1"/>
          <w:sz w:val="24"/>
          <w:szCs w:val="24"/>
        </w:rPr>
      </w:pPr>
      <w:bookmarkStart w:colFirst="0" w:colLast="0" w:name="_heading=h.3znysh7" w:id="2"/>
      <w:bookmarkEnd w:id="2"/>
      <w:r w:rsidDel="00000000" w:rsidR="00000000" w:rsidRPr="00000000">
        <w:rPr>
          <w:rFonts w:ascii="Times New Roman" w:cs="Times New Roman" w:eastAsia="Times New Roman" w:hAnsi="Times New Roman"/>
          <w:b w:val="1"/>
          <w:sz w:val="24"/>
          <w:szCs w:val="24"/>
          <w:rtl w:val="0"/>
        </w:rPr>
        <w:t xml:space="preserve">Article 3</w:t>
        <w:tab/>
        <w:t xml:space="preserve">Supply of documents</w:t>
      </w:r>
    </w:p>
    <w:p w:rsidR="00000000" w:rsidDel="00000000" w:rsidP="00000000" w:rsidRDefault="00000000" w:rsidRPr="00000000" w14:paraId="00000009">
      <w:pPr>
        <w:tabs>
          <w:tab w:val="right" w:leader="none" w:pos="0"/>
        </w:tabs>
        <w:spacing w:before="240" w:lineRule="auto"/>
        <w:jc w:val="both"/>
        <w:rPr>
          <w:rFonts w:ascii="Times New Roman" w:cs="Times New Roman" w:eastAsia="Times New Roman" w:hAnsi="Times New Roman"/>
          <w:sz w:val="22"/>
          <w:szCs w:val="22"/>
        </w:rPr>
      </w:pPr>
      <w:bookmarkStart w:colFirst="0" w:colLast="0" w:name="_heading=h.2et92p0" w:id="3"/>
      <w:bookmarkEnd w:id="3"/>
      <w:r w:rsidDel="00000000" w:rsidR="00000000" w:rsidRPr="00000000">
        <w:rPr>
          <w:rFonts w:ascii="Times New Roman" w:cs="Times New Roman" w:eastAsia="Times New Roman" w:hAnsi="Times New Roman"/>
          <w:sz w:val="22"/>
          <w:szCs w:val="22"/>
          <w:rtl w:val="0"/>
        </w:rPr>
        <w:t xml:space="preserve">N/A</w:t>
      </w:r>
    </w:p>
    <w:p w:rsidR="00000000" w:rsidDel="00000000" w:rsidP="00000000" w:rsidRDefault="00000000" w:rsidRPr="00000000" w14:paraId="0000000A">
      <w:pPr>
        <w:tabs>
          <w:tab w:val="right" w:leader="none" w:pos="0"/>
        </w:tabs>
        <w:spacing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Article 4</w:t>
        <w:tab/>
        <w:t xml:space="preserve">Assistance with local regulations</w:t>
      </w:r>
    </w:p>
    <w:p w:rsidR="00000000" w:rsidDel="00000000" w:rsidP="00000000" w:rsidRDefault="00000000" w:rsidRPr="00000000" w14:paraId="0000000B">
      <w:pPr>
        <w:tabs>
          <w:tab w:val="right" w:leader="none" w:pos="0"/>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 the case of a dispute with the supplier, the provisions outlined in the Consumer Arbitration Committees Regulation published in the Official Gazette shall be primarily applied. (</w:t>
      </w:r>
      <w:hyperlink r:id="rId9">
        <w:r w:rsidDel="00000000" w:rsidR="00000000" w:rsidRPr="00000000">
          <w:rPr>
            <w:rFonts w:ascii="Times New Roman" w:cs="Times New Roman" w:eastAsia="Times New Roman" w:hAnsi="Times New Roman"/>
            <w:color w:val="0000ff"/>
            <w:sz w:val="22"/>
            <w:szCs w:val="22"/>
            <w:u w:val="single"/>
            <w:rtl w:val="0"/>
          </w:rPr>
          <w:t xml:space="preserve">https://www.resmigazete.gov.tr/eskiler/2022/09/20220921-1.htm</w:t>
        </w:r>
      </w:hyperlink>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00C">
      <w:pPr>
        <w:keepNext w:val="1"/>
        <w:tabs>
          <w:tab w:val="right" w:leader="none" w:pos="0"/>
        </w:tabs>
        <w:spacing w:before="240" w:lineRule="auto"/>
        <w:jc w:val="both"/>
        <w:rPr>
          <w:rFonts w:ascii="Times New Roman" w:cs="Times New Roman" w:eastAsia="Times New Roman" w:hAnsi="Times New Roman"/>
          <w:b w:val="1"/>
          <w:sz w:val="24"/>
          <w:szCs w:val="24"/>
        </w:rPr>
      </w:pPr>
      <w:bookmarkStart w:colFirst="0" w:colLast="0" w:name="_heading=h.tyjcwt" w:id="4"/>
      <w:bookmarkEnd w:id="4"/>
      <w:r w:rsidDel="00000000" w:rsidR="00000000" w:rsidRPr="00000000">
        <w:rPr>
          <w:rFonts w:ascii="Times New Roman" w:cs="Times New Roman" w:eastAsia="Times New Roman" w:hAnsi="Times New Roman"/>
          <w:b w:val="1"/>
          <w:sz w:val="24"/>
          <w:szCs w:val="24"/>
          <w:rtl w:val="0"/>
        </w:rPr>
        <w:t xml:space="preserve">Article 5   General obligations</w:t>
      </w:r>
    </w:p>
    <w:p w:rsidR="00000000" w:rsidDel="00000000" w:rsidP="00000000" w:rsidRDefault="00000000" w:rsidRPr="00000000" w14:paraId="0000000D">
      <w:pPr>
        <w:keepNext w:val="1"/>
        <w:tabs>
          <w:tab w:val="right" w:leader="none" w:pos="0"/>
        </w:tabs>
        <w:spacing w:before="240" w:lineRule="auto"/>
        <w:jc w:val="both"/>
        <w:rPr>
          <w:rFonts w:ascii="Times New Roman" w:cs="Times New Roman" w:eastAsia="Times New Roman" w:hAnsi="Times New Roman"/>
          <w:sz w:val="24"/>
          <w:szCs w:val="24"/>
        </w:rPr>
      </w:pPr>
      <w:bookmarkStart w:colFirst="0" w:colLast="0" w:name="_heading=h.rmiv0ml52uvh" w:id="5"/>
      <w:bookmarkEnd w:id="5"/>
      <w:r w:rsidDel="00000000" w:rsidR="00000000" w:rsidRPr="00000000">
        <w:rPr>
          <w:rFonts w:ascii="Times New Roman" w:cs="Times New Roman" w:eastAsia="Times New Roman" w:hAnsi="Times New Roman"/>
          <w:sz w:val="24"/>
          <w:szCs w:val="24"/>
          <w:rtl w:val="0"/>
        </w:rPr>
        <w:t xml:space="preserve">N/A</w:t>
      </w:r>
    </w:p>
    <w:p w:rsidR="00000000" w:rsidDel="00000000" w:rsidP="00000000" w:rsidRDefault="00000000" w:rsidRPr="00000000" w14:paraId="0000000E">
      <w:pPr>
        <w:keepNext w:val="1"/>
        <w:tabs>
          <w:tab w:val="right" w:leader="none" w:pos="0"/>
        </w:tabs>
        <w:spacing w:before="240" w:lineRule="auto"/>
        <w:jc w:val="both"/>
        <w:rPr>
          <w:rFonts w:ascii="Times New Roman" w:cs="Times New Roman" w:eastAsia="Times New Roman" w:hAnsi="Times New Roman"/>
          <w:b w:val="1"/>
          <w:sz w:val="24"/>
          <w:szCs w:val="24"/>
        </w:rPr>
      </w:pPr>
      <w:bookmarkStart w:colFirst="0" w:colLast="0" w:name="_heading=h.z3tbvepi9bif" w:id="6"/>
      <w:bookmarkEnd w:id="6"/>
      <w:r w:rsidDel="00000000" w:rsidR="00000000" w:rsidRPr="00000000">
        <w:rPr>
          <w:rFonts w:ascii="Times New Roman" w:cs="Times New Roman" w:eastAsia="Times New Roman" w:hAnsi="Times New Roman"/>
          <w:b w:val="1"/>
          <w:sz w:val="24"/>
          <w:szCs w:val="24"/>
          <w:rtl w:val="0"/>
        </w:rPr>
        <w:t xml:space="preserve">Article 6</w:t>
        <w:tab/>
        <w:t xml:space="preserve">Origin</w:t>
      </w:r>
    </w:p>
    <w:p w:rsidR="00000000" w:rsidDel="00000000" w:rsidP="00000000" w:rsidRDefault="00000000" w:rsidRPr="00000000" w14:paraId="0000000F">
      <w:pPr>
        <w:pStyle w:val="Heading2"/>
        <w:keepNext w:val="0"/>
        <w:tabs>
          <w:tab w:val="right" w:leader="none" w:pos="0"/>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All goods purchased can originate in any country.</w:t>
      </w:r>
    </w:p>
    <w:p w:rsidR="00000000" w:rsidDel="00000000" w:rsidP="00000000" w:rsidRDefault="00000000" w:rsidRPr="00000000" w14:paraId="00000010">
      <w:pPr>
        <w:tabs>
          <w:tab w:val="right" w:leader="none" w:pos="0"/>
        </w:tabs>
        <w:spacing w:before="240" w:lineRule="auto"/>
        <w:jc w:val="both"/>
        <w:rPr>
          <w:rFonts w:ascii="Times New Roman" w:cs="Times New Roman" w:eastAsia="Times New Roman" w:hAnsi="Times New Roman"/>
          <w:b w:val="1"/>
          <w:sz w:val="24"/>
          <w:szCs w:val="24"/>
        </w:rPr>
      </w:pPr>
      <w:bookmarkStart w:colFirst="0" w:colLast="0" w:name="_heading=h.3dy6vkm" w:id="7"/>
      <w:bookmarkEnd w:id="7"/>
      <w:r w:rsidDel="00000000" w:rsidR="00000000" w:rsidRPr="00000000">
        <w:rPr>
          <w:rFonts w:ascii="Times New Roman" w:cs="Times New Roman" w:eastAsia="Times New Roman" w:hAnsi="Times New Roman"/>
          <w:b w:val="1"/>
          <w:sz w:val="24"/>
          <w:szCs w:val="24"/>
          <w:rtl w:val="0"/>
        </w:rPr>
        <w:t xml:space="preserve">Article 7</w:t>
        <w:tab/>
        <w:t xml:space="preserve">Performance guarantee</w:t>
      </w:r>
    </w:p>
    <w:p w:rsidR="00000000" w:rsidDel="00000000" w:rsidP="00000000" w:rsidRDefault="00000000" w:rsidRPr="00000000" w14:paraId="00000011">
      <w:pPr>
        <w:tabs>
          <w:tab w:val="right" w:leader="none" w:pos="0"/>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No performance guarantee is required.</w:t>
      </w:r>
    </w:p>
    <w:p w:rsidR="00000000" w:rsidDel="00000000" w:rsidP="00000000" w:rsidRDefault="00000000" w:rsidRPr="00000000" w14:paraId="00000012">
      <w:pPr>
        <w:tabs>
          <w:tab w:val="right" w:leader="none" w:pos="0"/>
        </w:tabs>
        <w:spacing w:before="240" w:lineRule="auto"/>
        <w:jc w:val="both"/>
        <w:rPr>
          <w:rFonts w:ascii="Times New Roman" w:cs="Times New Roman" w:eastAsia="Times New Roman" w:hAnsi="Times New Roman"/>
          <w:b w:val="1"/>
          <w:sz w:val="24"/>
          <w:szCs w:val="24"/>
        </w:rPr>
      </w:pPr>
      <w:bookmarkStart w:colFirst="0" w:colLast="0" w:name="_heading=h.1t3h5sf" w:id="8"/>
      <w:bookmarkEnd w:id="8"/>
      <w:r w:rsidDel="00000000" w:rsidR="00000000" w:rsidRPr="00000000">
        <w:rPr>
          <w:rFonts w:ascii="Times New Roman" w:cs="Times New Roman" w:eastAsia="Times New Roman" w:hAnsi="Times New Roman"/>
          <w:b w:val="1"/>
          <w:sz w:val="24"/>
          <w:szCs w:val="24"/>
          <w:rtl w:val="0"/>
        </w:rPr>
        <w:t xml:space="preserve">Article 8</w:t>
        <w:tab/>
        <w:t xml:space="preserve">Liabilities and insurance</w:t>
      </w:r>
    </w:p>
    <w:p w:rsidR="00000000" w:rsidDel="00000000" w:rsidP="00000000" w:rsidRDefault="00000000" w:rsidRPr="00000000" w14:paraId="00000013">
      <w:pPr>
        <w:tabs>
          <w:tab w:val="right" w:leader="none" w:pos="0"/>
          <w:tab w:val="left" w:leader="none" w:pos="1134"/>
        </w:tabs>
        <w:spacing w:befor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 The following requirements apply to liability for damage to the supplies: The contractor is responsible for taking all necessary measures to prevent damage to the delivered supplies. Any damage occurring during delivery is the responsibility of the contractor, and the supplier must promptly compensate for the damages. After delivery, any damage detected by the buyer must be reported to the contractor, and repair or replacement with new items may be requested. Under the terms of the contract, the contractor bears responsibility for damages arising from any defect or faulty delivery.</w:t>
      </w:r>
    </w:p>
    <w:p w:rsidR="00000000" w:rsidDel="00000000" w:rsidP="00000000" w:rsidRDefault="00000000" w:rsidRPr="00000000" w14:paraId="00000014">
      <w:pPr>
        <w:tabs>
          <w:tab w:val="right" w:leader="none" w:pos="0"/>
          <w:tab w:val="left" w:leader="none" w:pos="1134"/>
        </w:tabs>
        <w:spacing w:before="240" w:lineRule="auto"/>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rtl w:val="0"/>
        </w:rPr>
        <w:t xml:space="preserve">(b) The contractor shall be liable for any damages caused to the contracting authority during the execution of the contract. This includes, but is not limited to, any damage to property, financial loss, or reputational harm caused by the contractor’s actions or omissions. The contractor is responsible for promptly repairing, replacing, or compensating for any damages incurred. In case of breach of contract or failure to meet the agreed terms, the contracting authority has the right to seek compensation for any direct or indirect damages resulting from the contractor’s non-compliance or negligence.</w:t>
      </w:r>
      <w:r w:rsidDel="00000000" w:rsidR="00000000" w:rsidRPr="00000000">
        <w:rPr>
          <w:rtl w:val="0"/>
        </w:rPr>
      </w:r>
    </w:p>
    <w:p w:rsidR="00000000" w:rsidDel="00000000" w:rsidP="00000000" w:rsidRDefault="00000000" w:rsidRPr="00000000" w14:paraId="00000015">
      <w:pPr>
        <w:tabs>
          <w:tab w:val="right" w:leader="none" w:pos="0"/>
          <w:tab w:val="left" w:leader="none" w:pos="1843"/>
        </w:tabs>
        <w:spacing w:before="240" w:lineRule="auto"/>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rtl w:val="0"/>
        </w:rPr>
        <w:t xml:space="preserve">2(a), paragraph 1</w:t>
        <w:tab/>
      </w:r>
      <w:r w:rsidDel="00000000" w:rsidR="00000000" w:rsidRPr="00000000">
        <w:rPr>
          <w:rtl w:val="0"/>
        </w:rPr>
      </w:r>
    </w:p>
    <w:p w:rsidR="00000000" w:rsidDel="00000000" w:rsidP="00000000" w:rsidRDefault="00000000" w:rsidRPr="00000000" w14:paraId="00000016">
      <w:pPr>
        <w:tabs>
          <w:tab w:val="right" w:leader="none" w:pos="0"/>
        </w:tabs>
        <w:spacing w:before="240" w:lineRule="auto"/>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rtl w:val="0"/>
        </w:rPr>
        <w:t xml:space="preserve">The proof of completion of adequate Guarantee must be provided before the commencement of the contract or as a condition for finalizing the agreement. The contractor is required to submit a copy of the valid insurance policy that meets the specified coverage criteria within 2 years after signing the contract. Failure to provide proof of Guarantee within the specified period may result in delays or termination of the contract.</w:t>
      </w:r>
      <w:r w:rsidDel="00000000" w:rsidR="00000000" w:rsidRPr="00000000">
        <w:rPr>
          <w:rtl w:val="0"/>
        </w:rPr>
      </w:r>
    </w:p>
    <w:p w:rsidR="00000000" w:rsidDel="00000000" w:rsidP="00000000" w:rsidRDefault="00000000" w:rsidRPr="00000000" w14:paraId="00000017">
      <w:pPr>
        <w:tabs>
          <w:tab w:val="right" w:leader="none" w:pos="0"/>
          <w:tab w:val="left" w:leader="none" w:pos="1843"/>
        </w:tabs>
        <w:spacing w:before="240" w:lineRule="auto"/>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rtl w:val="0"/>
        </w:rPr>
        <w:t xml:space="preserve">2(a), paragraph 2</w:t>
        <w:tab/>
      </w:r>
      <w:r w:rsidDel="00000000" w:rsidR="00000000" w:rsidRPr="00000000">
        <w:rPr>
          <w:rtl w:val="0"/>
        </w:rPr>
      </w:r>
    </w:p>
    <w:p w:rsidR="00000000" w:rsidDel="00000000" w:rsidP="00000000" w:rsidRDefault="00000000" w:rsidRPr="00000000" w14:paraId="00000018">
      <w:pPr>
        <w:tabs>
          <w:tab w:val="right" w:leader="none" w:pos="0"/>
        </w:tabs>
        <w:spacing w:before="240" w:lineRule="auto"/>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rtl w:val="0"/>
        </w:rPr>
        <w:t xml:space="preserve">The requirements for communication of cover notes and/or guarantee certificates must be fulfilled before the commencement of the contract. The contractor is required to submit the cover notes and/or guarantee certificates within 2 years after signing the contract. These documents must be provided in writing and must clearly demonstrate that the necessary guarantee coverage is in place. Failure to submit these documents within the specified time frame may result in a delay or termination of the contract.</w:t>
      </w:r>
      <w:r w:rsidDel="00000000" w:rsidR="00000000" w:rsidRPr="00000000">
        <w:rPr>
          <w:rtl w:val="0"/>
        </w:rPr>
      </w:r>
    </w:p>
    <w:p w:rsidR="00000000" w:rsidDel="00000000" w:rsidP="00000000" w:rsidRDefault="00000000" w:rsidRPr="00000000" w14:paraId="00000019">
      <w:pPr>
        <w:tabs>
          <w:tab w:val="right" w:leader="none" w:pos="0"/>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2(b), paragraph 3</w:t>
        <w:tab/>
      </w:r>
    </w:p>
    <w:p w:rsidR="00000000" w:rsidDel="00000000" w:rsidP="00000000" w:rsidRDefault="00000000" w:rsidRPr="00000000" w14:paraId="0000001A">
      <w:pPr>
        <w:tabs>
          <w:tab w:val="right" w:leader="none" w:pos="0"/>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contractor shall be responsible for any damages that occur during the transport of supplies. The contractor must ensure that appropriate measures are taken to prevent damage during transportation and shall bear the liability for any damages incurred. The absence of a specific insurance policy for the transport does not relieve the contractor from this responsibility.</w:t>
      </w:r>
    </w:p>
    <w:p w:rsidR="00000000" w:rsidDel="00000000" w:rsidP="00000000" w:rsidRDefault="00000000" w:rsidRPr="00000000" w14:paraId="0000001B">
      <w:pPr>
        <w:tabs>
          <w:tab w:val="right" w:leader="none" w:pos="0"/>
        </w:tabs>
        <w:spacing w:before="240" w:lineRule="auto"/>
        <w:jc w:val="both"/>
        <w:rPr>
          <w:rFonts w:ascii="Times New Roman" w:cs="Times New Roman" w:eastAsia="Times New Roman" w:hAnsi="Times New Roman"/>
          <w:sz w:val="22"/>
          <w:szCs w:val="22"/>
        </w:rPr>
      </w:pPr>
      <w:bookmarkStart w:colFirst="0" w:colLast="0" w:name="_heading=h.4d34og8" w:id="9"/>
      <w:bookmarkEnd w:id="9"/>
      <w:r w:rsidDel="00000000" w:rsidR="00000000" w:rsidRPr="00000000">
        <w:rPr>
          <w:rFonts w:ascii="Times New Roman" w:cs="Times New Roman" w:eastAsia="Times New Roman" w:hAnsi="Times New Roman"/>
          <w:b w:val="1"/>
          <w:sz w:val="24"/>
          <w:szCs w:val="24"/>
          <w:rtl w:val="0"/>
        </w:rPr>
        <w:t xml:space="preserve">Article 9</w:t>
        <w:tab/>
        <w:t xml:space="preserve">Programme of implementation of tasks</w:t>
      </w:r>
      <w:r w:rsidDel="00000000" w:rsidR="00000000" w:rsidRPr="00000000">
        <w:rPr>
          <w:rtl w:val="0"/>
        </w:rPr>
      </w:r>
    </w:p>
    <w:p w:rsidR="00000000" w:rsidDel="00000000" w:rsidP="00000000" w:rsidRDefault="00000000" w:rsidRPr="00000000" w14:paraId="0000001C">
      <w:pPr>
        <w:keepLines w:val="1"/>
        <w:spacing w:after="0" w:before="0" w:lineRule="auto"/>
        <w:ind w:left="1134" w:hanging="709"/>
        <w:jc w:val="both"/>
        <w:rPr>
          <w:rFonts w:ascii="Times New Roman" w:cs="Times New Roman" w:eastAsia="Times New Roman" w:hAnsi="Times New Roman"/>
          <w:b w:val="1"/>
          <w:color w:val="b80672"/>
          <w:sz w:val="22"/>
          <w:szCs w:val="22"/>
        </w:rPr>
      </w:pPr>
      <w:r w:rsidDel="00000000" w:rsidR="00000000" w:rsidRPr="00000000">
        <w:rPr>
          <w:rtl w:val="0"/>
        </w:rPr>
      </w:r>
    </w:p>
    <w:tbl>
      <w:tblPr>
        <w:tblStyle w:val="Table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2"/>
        <w:gridCol w:w="3919"/>
        <w:gridCol w:w="3021"/>
        <w:tblGridChange w:id="0">
          <w:tblGrid>
            <w:gridCol w:w="2122"/>
            <w:gridCol w:w="3919"/>
            <w:gridCol w:w="3021"/>
          </w:tblGrid>
        </w:tblGridChange>
      </w:tblGrid>
      <w:tr>
        <w:trPr>
          <w:cantSplit w:val="0"/>
          <w:tblHeader w:val="0"/>
        </w:trPr>
        <w:tc>
          <w:tcPr/>
          <w:p w:rsidR="00000000" w:rsidDel="00000000" w:rsidP="00000000" w:rsidRDefault="00000000" w:rsidRPr="00000000" w14:paraId="0000001D">
            <w:pPr>
              <w:spacing w:after="144" w:before="288" w:lineRule="auto"/>
              <w:rPr>
                <w:rFonts w:ascii="Times New Roman" w:cs="Times New Roman" w:eastAsia="Times New Roman" w:hAnsi="Times New Roman"/>
                <w:b w:val="1"/>
                <w:sz w:val="22"/>
                <w:szCs w:val="22"/>
                <w:highlight w:val="white"/>
              </w:rPr>
            </w:pPr>
            <w:bookmarkStart w:colFirst="0" w:colLast="0" w:name="_heading=h.o0v4e11tggbs" w:id="10"/>
            <w:bookmarkEnd w:id="10"/>
            <w:r w:rsidDel="00000000" w:rsidR="00000000" w:rsidRPr="00000000">
              <w:rPr>
                <w:rFonts w:ascii="Times New Roman" w:cs="Times New Roman" w:eastAsia="Times New Roman" w:hAnsi="Times New Roman"/>
                <w:b w:val="1"/>
                <w:sz w:val="22"/>
                <w:szCs w:val="22"/>
                <w:highlight w:val="white"/>
                <w:rtl w:val="0"/>
              </w:rPr>
              <w:t xml:space="preserve">Supply Period</w:t>
            </w:r>
          </w:p>
        </w:tc>
        <w:tc>
          <w:tcPr/>
          <w:p w:rsidR="00000000" w:rsidDel="00000000" w:rsidP="00000000" w:rsidRDefault="00000000" w:rsidRPr="00000000" w14:paraId="0000001E">
            <w:pPr>
              <w:spacing w:after="144" w:before="288" w:lineRule="auto"/>
              <w:rPr>
                <w:rFonts w:ascii="Times New Roman" w:cs="Times New Roman" w:eastAsia="Times New Roman" w:hAnsi="Times New Roman"/>
                <w:b w:val="1"/>
                <w:sz w:val="22"/>
                <w:szCs w:val="22"/>
                <w:highlight w:val="white"/>
              </w:rPr>
            </w:pPr>
            <w:r w:rsidDel="00000000" w:rsidR="00000000" w:rsidRPr="00000000">
              <w:rPr>
                <w:rFonts w:ascii="Times New Roman" w:cs="Times New Roman" w:eastAsia="Times New Roman" w:hAnsi="Times New Roman"/>
                <w:b w:val="1"/>
                <w:sz w:val="22"/>
                <w:szCs w:val="22"/>
                <w:highlight w:val="white"/>
                <w:rtl w:val="0"/>
              </w:rPr>
              <w:t xml:space="preserve">Estimated Quantity (Monthly Basis)</w:t>
            </w:r>
          </w:p>
        </w:tc>
        <w:tc>
          <w:tcPr/>
          <w:p w:rsidR="00000000" w:rsidDel="00000000" w:rsidP="00000000" w:rsidRDefault="00000000" w:rsidRPr="00000000" w14:paraId="0000001F">
            <w:pPr>
              <w:spacing w:after="144" w:before="288" w:lineRule="auto"/>
              <w:rPr>
                <w:rFonts w:ascii="Times New Roman" w:cs="Times New Roman" w:eastAsia="Times New Roman" w:hAnsi="Times New Roman"/>
                <w:b w:val="1"/>
                <w:sz w:val="22"/>
                <w:szCs w:val="22"/>
                <w:highlight w:val="white"/>
              </w:rPr>
            </w:pPr>
            <w:r w:rsidDel="00000000" w:rsidR="00000000" w:rsidRPr="00000000">
              <w:rPr>
                <w:rFonts w:ascii="Times New Roman" w:cs="Times New Roman" w:eastAsia="Times New Roman" w:hAnsi="Times New Roman"/>
                <w:b w:val="1"/>
                <w:sz w:val="22"/>
                <w:szCs w:val="22"/>
                <w:highlight w:val="white"/>
                <w:rtl w:val="0"/>
              </w:rPr>
              <w:t xml:space="preserve">Delivery Schedule</w:t>
            </w:r>
          </w:p>
        </w:tc>
      </w:tr>
      <w:tr>
        <w:trPr>
          <w:cantSplit w:val="0"/>
          <w:tblHeader w:val="0"/>
        </w:trPr>
        <w:tc>
          <w:tcPr/>
          <w:p w:rsidR="00000000" w:rsidDel="00000000" w:rsidP="00000000" w:rsidRDefault="00000000" w:rsidRPr="00000000" w14:paraId="00000020">
            <w:pPr>
              <w:spacing w:after="144" w:before="288" w:lineRule="auto"/>
              <w:rPr>
                <w:rFonts w:ascii="Times New Roman" w:cs="Times New Roman" w:eastAsia="Times New Roman" w:hAnsi="Times New Roman"/>
                <w:b w:val="1"/>
                <w:sz w:val="22"/>
                <w:szCs w:val="22"/>
                <w:highlight w:val="white"/>
              </w:rPr>
            </w:pPr>
            <w:r w:rsidDel="00000000" w:rsidR="00000000" w:rsidRPr="00000000">
              <w:rPr>
                <w:rFonts w:ascii="Times New Roman" w:cs="Times New Roman" w:eastAsia="Times New Roman" w:hAnsi="Times New Roman"/>
                <w:b w:val="1"/>
                <w:sz w:val="22"/>
                <w:szCs w:val="22"/>
                <w:highlight w:val="white"/>
                <w:rtl w:val="0"/>
              </w:rPr>
              <w:t xml:space="preserve">Monthly</w:t>
            </w:r>
          </w:p>
        </w:tc>
        <w:tc>
          <w:tcPr/>
          <w:p w:rsidR="00000000" w:rsidDel="00000000" w:rsidP="00000000" w:rsidRDefault="00000000" w:rsidRPr="00000000" w14:paraId="00000021">
            <w:pPr>
              <w:spacing w:after="144" w:before="288" w:lineRule="auto"/>
              <w:rPr>
                <w:rFonts w:ascii="Times New Roman" w:cs="Times New Roman" w:eastAsia="Times New Roman" w:hAnsi="Times New Roman"/>
                <w:b w:val="1"/>
                <w:sz w:val="22"/>
                <w:szCs w:val="22"/>
                <w:highlight w:val="white"/>
              </w:rPr>
            </w:pPr>
            <w:r w:rsidDel="00000000" w:rsidR="00000000" w:rsidRPr="00000000">
              <w:rPr>
                <w:rFonts w:ascii="Times New Roman" w:cs="Times New Roman" w:eastAsia="Times New Roman" w:hAnsi="Times New Roman"/>
                <w:sz w:val="22"/>
                <w:szCs w:val="22"/>
                <w:highlight w:val="white"/>
                <w:rtl w:val="0"/>
              </w:rPr>
              <w:t xml:space="preserve">Replenishment of consumables</w:t>
            </w:r>
            <w:r w:rsidDel="00000000" w:rsidR="00000000" w:rsidRPr="00000000">
              <w:rPr>
                <w:rtl w:val="0"/>
              </w:rPr>
            </w:r>
          </w:p>
        </w:tc>
        <w:tc>
          <w:tcPr/>
          <w:p w:rsidR="00000000" w:rsidDel="00000000" w:rsidP="00000000" w:rsidRDefault="00000000" w:rsidRPr="00000000" w14:paraId="00000022">
            <w:pPr>
              <w:spacing w:after="144" w:before="288" w:lineRule="auto"/>
              <w:rPr>
                <w:rFonts w:ascii="Times New Roman" w:cs="Times New Roman" w:eastAsia="Times New Roman" w:hAnsi="Times New Roman"/>
                <w:b w:val="1"/>
                <w:sz w:val="22"/>
                <w:szCs w:val="22"/>
                <w:highlight w:val="white"/>
              </w:rPr>
            </w:pPr>
            <w:r w:rsidDel="00000000" w:rsidR="00000000" w:rsidRPr="00000000">
              <w:rPr>
                <w:rFonts w:ascii="Times New Roman" w:cs="Times New Roman" w:eastAsia="Times New Roman" w:hAnsi="Times New Roman"/>
                <w:sz w:val="22"/>
                <w:szCs w:val="22"/>
                <w:highlight w:val="white"/>
                <w:rtl w:val="0"/>
              </w:rPr>
              <w:t xml:space="preserve">Within 5 days of order placement</w:t>
            </w:r>
            <w:r w:rsidDel="00000000" w:rsidR="00000000" w:rsidRPr="00000000">
              <w:rPr>
                <w:rtl w:val="0"/>
              </w:rPr>
            </w:r>
          </w:p>
        </w:tc>
      </w:tr>
      <w:tr>
        <w:trPr>
          <w:cantSplit w:val="0"/>
          <w:tblHeader w:val="0"/>
        </w:trPr>
        <w:tc>
          <w:tcPr/>
          <w:p w:rsidR="00000000" w:rsidDel="00000000" w:rsidP="00000000" w:rsidRDefault="00000000" w:rsidRPr="00000000" w14:paraId="00000023">
            <w:pPr>
              <w:spacing w:after="144" w:before="288" w:lineRule="auto"/>
              <w:rPr>
                <w:rFonts w:ascii="Times New Roman" w:cs="Times New Roman" w:eastAsia="Times New Roman" w:hAnsi="Times New Roman"/>
                <w:b w:val="1"/>
                <w:sz w:val="22"/>
                <w:szCs w:val="22"/>
                <w:highlight w:val="white"/>
              </w:rPr>
            </w:pPr>
            <w:r w:rsidDel="00000000" w:rsidR="00000000" w:rsidRPr="00000000">
              <w:rPr>
                <w:rFonts w:ascii="Times New Roman" w:cs="Times New Roman" w:eastAsia="Times New Roman" w:hAnsi="Times New Roman"/>
                <w:b w:val="1"/>
                <w:sz w:val="22"/>
                <w:szCs w:val="22"/>
                <w:highlight w:val="white"/>
                <w:rtl w:val="0"/>
              </w:rPr>
              <w:t xml:space="preserve">Ad-hoc</w:t>
            </w:r>
          </w:p>
        </w:tc>
        <w:tc>
          <w:tcPr/>
          <w:p w:rsidR="00000000" w:rsidDel="00000000" w:rsidP="00000000" w:rsidRDefault="00000000" w:rsidRPr="00000000" w14:paraId="00000024">
            <w:pPr>
              <w:spacing w:after="144" w:before="288" w:lineRule="auto"/>
              <w:rPr>
                <w:rFonts w:ascii="Times New Roman" w:cs="Times New Roman" w:eastAsia="Times New Roman" w:hAnsi="Times New Roman"/>
                <w:b w:val="1"/>
                <w:sz w:val="22"/>
                <w:szCs w:val="22"/>
                <w:highlight w:val="white"/>
              </w:rPr>
            </w:pPr>
            <w:r w:rsidDel="00000000" w:rsidR="00000000" w:rsidRPr="00000000">
              <w:rPr>
                <w:rFonts w:ascii="Times New Roman" w:cs="Times New Roman" w:eastAsia="Times New Roman" w:hAnsi="Times New Roman"/>
                <w:sz w:val="22"/>
                <w:szCs w:val="22"/>
                <w:highlight w:val="white"/>
                <w:rtl w:val="0"/>
              </w:rPr>
              <w:t xml:space="preserve">As-needed urgent supplies</w:t>
            </w:r>
            <w:r w:rsidDel="00000000" w:rsidR="00000000" w:rsidRPr="00000000">
              <w:rPr>
                <w:rtl w:val="0"/>
              </w:rPr>
            </w:r>
          </w:p>
        </w:tc>
        <w:tc>
          <w:tcPr/>
          <w:p w:rsidR="00000000" w:rsidDel="00000000" w:rsidP="00000000" w:rsidRDefault="00000000" w:rsidRPr="00000000" w14:paraId="00000025">
            <w:pPr>
              <w:spacing w:after="144" w:before="288" w:lineRule="auto"/>
              <w:rPr>
                <w:rFonts w:ascii="Times New Roman" w:cs="Times New Roman" w:eastAsia="Times New Roman" w:hAnsi="Times New Roman"/>
                <w:b w:val="1"/>
                <w:sz w:val="22"/>
                <w:szCs w:val="22"/>
                <w:highlight w:val="white"/>
              </w:rPr>
            </w:pPr>
            <w:r w:rsidDel="00000000" w:rsidR="00000000" w:rsidRPr="00000000">
              <w:rPr>
                <w:rFonts w:ascii="Times New Roman" w:cs="Times New Roman" w:eastAsia="Times New Roman" w:hAnsi="Times New Roman"/>
                <w:sz w:val="22"/>
                <w:szCs w:val="22"/>
                <w:highlight w:val="white"/>
                <w:rtl w:val="0"/>
              </w:rPr>
              <w:t xml:space="preserve">Within 5 days of request</w:t>
            </w:r>
            <w:r w:rsidDel="00000000" w:rsidR="00000000" w:rsidRPr="00000000">
              <w:rPr>
                <w:rtl w:val="0"/>
              </w:rPr>
            </w:r>
          </w:p>
        </w:tc>
      </w:tr>
    </w:tbl>
    <w:p w:rsidR="00000000" w:rsidDel="00000000" w:rsidP="00000000" w:rsidRDefault="00000000" w:rsidRPr="00000000" w14:paraId="00000026">
      <w:pPr>
        <w:tabs>
          <w:tab w:val="right" w:leader="none" w:pos="0"/>
        </w:tabs>
        <w:spacing w:after="144" w:before="288" w:lineRule="auto"/>
        <w:rPr>
          <w:rFonts w:ascii="Times New Roman" w:cs="Times New Roman" w:eastAsia="Times New Roman" w:hAnsi="Times New Roman"/>
          <w:b w:val="1"/>
          <w:sz w:val="22"/>
          <w:szCs w:val="22"/>
        </w:rPr>
      </w:pPr>
      <w:bookmarkStart w:colFirst="0" w:colLast="0" w:name="_heading=h.30j0zll" w:id="11"/>
      <w:bookmarkEnd w:id="11"/>
      <w:r w:rsidDel="00000000" w:rsidR="00000000" w:rsidRPr="00000000">
        <w:rPr>
          <w:rFonts w:ascii="Times New Roman" w:cs="Times New Roman" w:eastAsia="Times New Roman" w:hAnsi="Times New Roman"/>
          <w:b w:val="1"/>
          <w:sz w:val="22"/>
          <w:szCs w:val="22"/>
          <w:rtl w:val="0"/>
        </w:rPr>
        <w:t xml:space="preserve">* The time zone of the country of the contracting authority.</w:t>
        <w:br w:type="textWrapping"/>
        <w:t xml:space="preserve">**</w:t>
      </w:r>
      <w:r w:rsidDel="00000000" w:rsidR="00000000" w:rsidRPr="00000000">
        <w:rPr>
          <w:rFonts w:ascii="Times New Roman" w:cs="Times New Roman" w:eastAsia="Times New Roman" w:hAnsi="Times New Roman"/>
          <w:sz w:val="22"/>
          <w:szCs w:val="22"/>
          <w:vertAlign w:val="superscript"/>
          <w:rtl w:val="0"/>
        </w:rPr>
        <w:t xml:space="preserve"> </w:t>
      </w:r>
      <w:r w:rsidDel="00000000" w:rsidR="00000000" w:rsidRPr="00000000">
        <w:rPr>
          <w:rFonts w:ascii="Times New Roman" w:cs="Times New Roman" w:eastAsia="Times New Roman" w:hAnsi="Times New Roman"/>
          <w:b w:val="1"/>
          <w:sz w:val="22"/>
          <w:szCs w:val="22"/>
          <w:rtl w:val="0"/>
        </w:rPr>
        <w:t xml:space="preserve">Provisional date. Days presented are calendar based.</w:t>
      </w:r>
    </w:p>
    <w:p w:rsidR="00000000" w:rsidDel="00000000" w:rsidP="00000000" w:rsidRDefault="00000000" w:rsidRPr="00000000" w14:paraId="00000027">
      <w:pPr>
        <w:tabs>
          <w:tab w:val="right" w:leader="none" w:pos="0"/>
        </w:tabs>
        <w:spacing w:after="144" w:before="288" w:lineRule="auto"/>
        <w:rPr>
          <w:rFonts w:ascii="Times New Roman" w:cs="Times New Roman" w:eastAsia="Times New Roman" w:hAnsi="Times New Roman"/>
          <w:b w:val="1"/>
          <w:sz w:val="22"/>
          <w:szCs w:val="22"/>
        </w:rPr>
      </w:pPr>
      <w:bookmarkStart w:colFirst="0" w:colLast="0" w:name="_heading=h.4f38ou3rdnub" w:id="12"/>
      <w:bookmarkEnd w:id="12"/>
      <w:r w:rsidDel="00000000" w:rsidR="00000000" w:rsidRPr="00000000">
        <w:rPr>
          <w:rFonts w:ascii="Times New Roman" w:cs="Times New Roman" w:eastAsia="Times New Roman" w:hAnsi="Times New Roman"/>
          <w:b w:val="1"/>
          <w:sz w:val="22"/>
          <w:szCs w:val="22"/>
          <w:rtl w:val="0"/>
        </w:rPr>
        <w:t xml:space="preserve">*** Should the last day of the indicated calendar be a non working day, deadlines will be extended until the next working day.</w:t>
      </w:r>
    </w:p>
    <w:p w:rsidR="00000000" w:rsidDel="00000000" w:rsidP="00000000" w:rsidRDefault="00000000" w:rsidRPr="00000000" w14:paraId="00000028">
      <w:pPr>
        <w:tabs>
          <w:tab w:val="right" w:leader="none" w:pos="0"/>
        </w:tabs>
        <w:spacing w:before="240" w:lineRule="auto"/>
        <w:jc w:val="both"/>
        <w:rPr>
          <w:rFonts w:ascii="Times New Roman" w:cs="Times New Roman" w:eastAsia="Times New Roman" w:hAnsi="Times New Roman"/>
          <w:b w:val="1"/>
          <w:sz w:val="24"/>
          <w:szCs w:val="24"/>
        </w:rPr>
      </w:pPr>
      <w:bookmarkStart w:colFirst="0" w:colLast="0" w:name="_heading=h.2s8eyo1" w:id="13"/>
      <w:bookmarkEnd w:id="13"/>
      <w:r w:rsidDel="00000000" w:rsidR="00000000" w:rsidRPr="00000000">
        <w:rPr>
          <w:rFonts w:ascii="Times New Roman" w:cs="Times New Roman" w:eastAsia="Times New Roman" w:hAnsi="Times New Roman"/>
          <w:b w:val="1"/>
          <w:sz w:val="24"/>
          <w:szCs w:val="24"/>
          <w:rtl w:val="0"/>
        </w:rPr>
        <w:t xml:space="preserve">Article 10</w:t>
        <w:tab/>
        <w:t xml:space="preserve">Contractor’s drawings</w:t>
      </w:r>
    </w:p>
    <w:p w:rsidR="00000000" w:rsidDel="00000000" w:rsidP="00000000" w:rsidRDefault="00000000" w:rsidRPr="00000000" w14:paraId="00000029">
      <w:pPr>
        <w:tabs>
          <w:tab w:val="right" w:leader="none" w:pos="0"/>
        </w:tabs>
        <w:spacing w:befor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N/A</w:t>
      </w:r>
    </w:p>
    <w:p w:rsidR="00000000" w:rsidDel="00000000" w:rsidP="00000000" w:rsidRDefault="00000000" w:rsidRPr="00000000" w14:paraId="0000002A">
      <w:pPr>
        <w:tabs>
          <w:tab w:val="right" w:leader="none" w:pos="0"/>
        </w:tabs>
        <w:spacing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Article 11</w:t>
        <w:tab/>
        <w:t xml:space="preserve">Sufficiency of tender prices</w:t>
        <w:tab/>
      </w:r>
    </w:p>
    <w:p w:rsidR="00000000" w:rsidDel="00000000" w:rsidP="00000000" w:rsidRDefault="00000000" w:rsidRPr="00000000" w14:paraId="0000002B">
      <w:pPr>
        <w:tabs>
          <w:tab w:val="right" w:leader="none" w:pos="0"/>
        </w:tabs>
        <w:spacing w:befor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N/A</w:t>
      </w:r>
    </w:p>
    <w:p w:rsidR="00000000" w:rsidDel="00000000" w:rsidP="00000000" w:rsidRDefault="00000000" w:rsidRPr="00000000" w14:paraId="0000002C">
      <w:pPr>
        <w:tabs>
          <w:tab w:val="right" w:leader="none" w:pos="0"/>
        </w:tabs>
        <w:spacing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Article 12</w:t>
        <w:tab/>
        <w:t xml:space="preserve">Tax and customs arrangements</w:t>
      </w:r>
    </w:p>
    <w:p w:rsidR="00000000" w:rsidDel="00000000" w:rsidP="00000000" w:rsidRDefault="00000000" w:rsidRPr="00000000" w14:paraId="0000002D">
      <w:pPr>
        <w:tabs>
          <w:tab w:val="right" w:leader="none" w:pos="0"/>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delivery conditions are DDP as mentioned in the general conditions. </w:t>
      </w:r>
    </w:p>
    <w:p w:rsidR="00000000" w:rsidDel="00000000" w:rsidP="00000000" w:rsidRDefault="00000000" w:rsidRPr="00000000" w14:paraId="0000002E">
      <w:pPr>
        <w:tabs>
          <w:tab w:val="right" w:leader="none" w:pos="0"/>
        </w:tabs>
        <w:spacing w:before="240" w:lineRule="auto"/>
        <w:jc w:val="both"/>
        <w:rPr>
          <w:rFonts w:ascii="Times New Roman" w:cs="Times New Roman" w:eastAsia="Times New Roman" w:hAnsi="Times New Roman"/>
          <w:b w:val="1"/>
          <w:sz w:val="24"/>
          <w:szCs w:val="24"/>
        </w:rPr>
      </w:pPr>
      <w:bookmarkStart w:colFirst="0" w:colLast="0" w:name="_heading=h.3rdcrjn" w:id="14"/>
      <w:bookmarkEnd w:id="14"/>
      <w:r w:rsidDel="00000000" w:rsidR="00000000" w:rsidRPr="00000000">
        <w:rPr>
          <w:rFonts w:ascii="Times New Roman" w:cs="Times New Roman" w:eastAsia="Times New Roman" w:hAnsi="Times New Roman"/>
          <w:b w:val="1"/>
          <w:sz w:val="24"/>
          <w:szCs w:val="24"/>
          <w:rtl w:val="0"/>
        </w:rPr>
        <w:t xml:space="preserve">Article 13</w:t>
        <w:tab/>
        <w:t xml:space="preserve">Patents and licences</w:t>
      </w:r>
    </w:p>
    <w:p w:rsidR="00000000" w:rsidDel="00000000" w:rsidP="00000000" w:rsidRDefault="00000000" w:rsidRPr="00000000" w14:paraId="0000002F">
      <w:pPr>
        <w:tabs>
          <w:tab w:val="right" w:leader="none" w:pos="0"/>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No derogations from Article 17 of the general conditions.</w:t>
      </w:r>
    </w:p>
    <w:p w:rsidR="00000000" w:rsidDel="00000000" w:rsidP="00000000" w:rsidRDefault="00000000" w:rsidRPr="00000000" w14:paraId="00000030">
      <w:pPr>
        <w:tabs>
          <w:tab w:val="right" w:leader="none" w:pos="0"/>
        </w:tabs>
        <w:spacing w:before="240" w:lineRule="auto"/>
        <w:jc w:val="both"/>
        <w:rPr>
          <w:rFonts w:ascii="Times New Roman" w:cs="Times New Roman" w:eastAsia="Times New Roman" w:hAnsi="Times New Roman"/>
          <w:b w:val="1"/>
          <w:sz w:val="24"/>
          <w:szCs w:val="24"/>
        </w:rPr>
      </w:pPr>
      <w:bookmarkStart w:colFirst="0" w:colLast="0" w:name="_heading=h.26in1rg" w:id="15"/>
      <w:bookmarkEnd w:id="15"/>
      <w:r w:rsidDel="00000000" w:rsidR="00000000" w:rsidRPr="00000000">
        <w:rPr>
          <w:rFonts w:ascii="Times New Roman" w:cs="Times New Roman" w:eastAsia="Times New Roman" w:hAnsi="Times New Roman"/>
          <w:b w:val="1"/>
          <w:sz w:val="24"/>
          <w:szCs w:val="24"/>
          <w:rtl w:val="0"/>
        </w:rPr>
        <w:t xml:space="preserve">Article 14</w:t>
        <w:tab/>
        <w:t xml:space="preserve">Commencement order </w:t>
      </w:r>
    </w:p>
    <w:p w:rsidR="00000000" w:rsidDel="00000000" w:rsidP="00000000" w:rsidRDefault="00000000" w:rsidRPr="00000000" w14:paraId="00000031">
      <w:pPr>
        <w:ind w:left="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 days after the submission of the purchase order is the deadline, End of business day.</w:t>
      </w:r>
    </w:p>
    <w:p w:rsidR="00000000" w:rsidDel="00000000" w:rsidP="00000000" w:rsidRDefault="00000000" w:rsidRPr="00000000" w14:paraId="00000032">
      <w:pPr>
        <w:tabs>
          <w:tab w:val="right" w:leader="none" w:pos="0"/>
        </w:tabs>
        <w:spacing w:before="240" w:lineRule="auto"/>
        <w:jc w:val="both"/>
        <w:rPr>
          <w:rFonts w:ascii="Times New Roman" w:cs="Times New Roman" w:eastAsia="Times New Roman" w:hAnsi="Times New Roman"/>
          <w:b w:val="1"/>
          <w:sz w:val="24"/>
          <w:szCs w:val="24"/>
        </w:rPr>
      </w:pPr>
      <w:bookmarkStart w:colFirst="0" w:colLast="0" w:name="_heading=h.lnxbz9" w:id="16"/>
      <w:bookmarkEnd w:id="16"/>
      <w:r w:rsidDel="00000000" w:rsidR="00000000" w:rsidRPr="00000000">
        <w:rPr>
          <w:rFonts w:ascii="Times New Roman" w:cs="Times New Roman" w:eastAsia="Times New Roman" w:hAnsi="Times New Roman"/>
          <w:b w:val="1"/>
          <w:sz w:val="24"/>
          <w:szCs w:val="24"/>
          <w:rtl w:val="0"/>
        </w:rPr>
        <w:t xml:space="preserve">Article 15</w:t>
        <w:tab/>
        <w:t xml:space="preserve">Period of implementation of the tasks</w:t>
      </w:r>
    </w:p>
    <w:p w:rsidR="00000000" w:rsidDel="00000000" w:rsidP="00000000" w:rsidRDefault="00000000" w:rsidRPr="00000000" w14:paraId="00000033">
      <w:pPr>
        <w:tabs>
          <w:tab w:val="right" w:leader="none" w:pos="0"/>
        </w:tabs>
        <w:spacing w:after="0" w:before="0" w:lineRule="auto"/>
        <w:jc w:val="both"/>
        <w:rPr>
          <w:rFonts w:ascii="Calibri" w:cs="Calibri" w:eastAsia="Calibri" w:hAnsi="Calibri"/>
          <w:sz w:val="22"/>
          <w:szCs w:val="22"/>
        </w:rPr>
      </w:pPr>
      <w:r w:rsidDel="00000000" w:rsidR="00000000" w:rsidRPr="00000000">
        <w:rPr>
          <w:rFonts w:ascii="Times New Roman" w:cs="Times New Roman" w:eastAsia="Times New Roman" w:hAnsi="Times New Roman"/>
          <w:sz w:val="22"/>
          <w:szCs w:val="22"/>
          <w:rtl w:val="0"/>
        </w:rPr>
        <w:t xml:space="preserve">31.08.2025 - 31.08.2027</w:t>
      </w:r>
      <w:r w:rsidDel="00000000" w:rsidR="00000000" w:rsidRPr="00000000">
        <w:rPr>
          <w:rtl w:val="0"/>
        </w:rPr>
      </w:r>
    </w:p>
    <w:p w:rsidR="00000000" w:rsidDel="00000000" w:rsidP="00000000" w:rsidRDefault="00000000" w:rsidRPr="00000000" w14:paraId="00000034">
      <w:pPr>
        <w:tabs>
          <w:tab w:val="right" w:leader="none" w:pos="0"/>
        </w:tabs>
        <w:spacing w:before="240" w:lineRule="auto"/>
        <w:jc w:val="both"/>
        <w:rPr>
          <w:rFonts w:ascii="Times New Roman" w:cs="Times New Roman" w:eastAsia="Times New Roman" w:hAnsi="Times New Roman"/>
          <w:b w:val="1"/>
          <w:sz w:val="24"/>
          <w:szCs w:val="24"/>
        </w:rPr>
      </w:pPr>
      <w:bookmarkStart w:colFirst="0" w:colLast="0" w:name="_heading=h.35nkun2" w:id="17"/>
      <w:bookmarkEnd w:id="17"/>
      <w:r w:rsidDel="00000000" w:rsidR="00000000" w:rsidRPr="00000000">
        <w:rPr>
          <w:rFonts w:ascii="Times New Roman" w:cs="Times New Roman" w:eastAsia="Times New Roman" w:hAnsi="Times New Roman"/>
          <w:b w:val="1"/>
          <w:sz w:val="24"/>
          <w:szCs w:val="24"/>
          <w:rtl w:val="0"/>
        </w:rPr>
        <w:t xml:space="preserve">Article 16</w:t>
        <w:tab/>
        <w:t xml:space="preserve">Quality of supplies</w:t>
      </w:r>
    </w:p>
    <w:p w:rsidR="00000000" w:rsidDel="00000000" w:rsidP="00000000" w:rsidRDefault="00000000" w:rsidRPr="00000000" w14:paraId="00000035">
      <w:pPr>
        <w:tabs>
          <w:tab w:val="right" w:leader="none" w:pos="0"/>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All supplies offered have to be new, unused and with no technical or visual defects</w:t>
      </w:r>
    </w:p>
    <w:p w:rsidR="00000000" w:rsidDel="00000000" w:rsidP="00000000" w:rsidRDefault="00000000" w:rsidRPr="00000000" w14:paraId="00000036">
      <w:pPr>
        <w:tabs>
          <w:tab w:val="right" w:leader="none" w:pos="0"/>
        </w:tabs>
        <w:spacing w:before="240" w:lineRule="auto"/>
        <w:jc w:val="both"/>
        <w:rPr>
          <w:rFonts w:ascii="Times New Roman" w:cs="Times New Roman" w:eastAsia="Times New Roman" w:hAnsi="Times New Roman"/>
          <w:b w:val="1"/>
          <w:sz w:val="24"/>
          <w:szCs w:val="24"/>
        </w:rPr>
      </w:pPr>
      <w:bookmarkStart w:colFirst="0" w:colLast="0" w:name="_heading=h.1ksv4uv" w:id="18"/>
      <w:bookmarkEnd w:id="18"/>
      <w:r w:rsidDel="00000000" w:rsidR="00000000" w:rsidRPr="00000000">
        <w:rPr>
          <w:rFonts w:ascii="Times New Roman" w:cs="Times New Roman" w:eastAsia="Times New Roman" w:hAnsi="Times New Roman"/>
          <w:b w:val="1"/>
          <w:sz w:val="24"/>
          <w:szCs w:val="24"/>
          <w:rtl w:val="0"/>
        </w:rPr>
        <w:t xml:space="preserve">Article 17</w:t>
        <w:tab/>
        <w:t xml:space="preserve">Inspection and testing</w:t>
      </w:r>
    </w:p>
    <w:p w:rsidR="00000000" w:rsidDel="00000000" w:rsidP="00000000" w:rsidRDefault="00000000" w:rsidRPr="00000000" w14:paraId="00000037">
      <w:pPr>
        <w:tabs>
          <w:tab w:val="right" w:leader="none" w:pos="0"/>
        </w:tabs>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N/A</w:t>
      </w:r>
      <w:r w:rsidDel="00000000" w:rsidR="00000000" w:rsidRPr="00000000">
        <w:rPr>
          <w:rtl w:val="0"/>
        </w:rPr>
      </w:r>
    </w:p>
    <w:p w:rsidR="00000000" w:rsidDel="00000000" w:rsidP="00000000" w:rsidRDefault="00000000" w:rsidRPr="00000000" w14:paraId="00000038">
      <w:pPr>
        <w:tabs>
          <w:tab w:val="right" w:leader="none" w:pos="0"/>
        </w:tabs>
        <w:spacing w:before="240" w:lineRule="auto"/>
        <w:jc w:val="both"/>
        <w:rPr>
          <w:rFonts w:ascii="Times New Roman" w:cs="Times New Roman" w:eastAsia="Times New Roman" w:hAnsi="Times New Roman"/>
          <w:b w:val="1"/>
          <w:sz w:val="24"/>
          <w:szCs w:val="24"/>
        </w:rPr>
      </w:pPr>
      <w:bookmarkStart w:colFirst="0" w:colLast="0" w:name="_heading=h.44sinio" w:id="19"/>
      <w:bookmarkEnd w:id="19"/>
      <w:r w:rsidDel="00000000" w:rsidR="00000000" w:rsidRPr="00000000">
        <w:rPr>
          <w:rFonts w:ascii="Times New Roman" w:cs="Times New Roman" w:eastAsia="Times New Roman" w:hAnsi="Times New Roman"/>
          <w:b w:val="1"/>
          <w:sz w:val="24"/>
          <w:szCs w:val="24"/>
          <w:rtl w:val="0"/>
        </w:rPr>
        <w:t xml:space="preserve">Article 18</w:t>
        <w:tab/>
        <w:t xml:space="preserve">General principles for payments</w:t>
      </w:r>
    </w:p>
    <w:p w:rsidR="00000000" w:rsidDel="00000000" w:rsidP="00000000" w:rsidRDefault="00000000" w:rsidRPr="00000000" w14:paraId="00000039">
      <w:pPr>
        <w:tabs>
          <w:tab w:val="right" w:leader="none" w:pos="0"/>
          <w:tab w:val="right" w:leader="none" w:pos="9885"/>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Payments shall be made in TRY.</w:t>
      </w:r>
    </w:p>
    <w:p w:rsidR="00000000" w:rsidDel="00000000" w:rsidP="00000000" w:rsidRDefault="00000000" w:rsidRPr="00000000" w14:paraId="0000003A">
      <w:pPr>
        <w:tabs>
          <w:tab w:val="right" w:leader="none" w:pos="0"/>
          <w:tab w:val="right" w:leader="none" w:pos="9885"/>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Pre-financing is not applicable to this contract.</w:t>
      </w:r>
    </w:p>
    <w:p w:rsidR="00000000" w:rsidDel="00000000" w:rsidP="00000000" w:rsidRDefault="00000000" w:rsidRPr="00000000" w14:paraId="0000003B">
      <w:pPr>
        <w:tabs>
          <w:tab w:val="right" w:leader="none" w:pos="0"/>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Payments shall be authorised and made by ROMAN GİRİŞİMCİLİĞİNİ GELİŞTİRME İNİSİYATİFİ DERNEĞİ will make the payment via bank transfer from its T.C. Ziraat Bankası accounts to the bank account specified by the awarded supplier.</w:t>
      </w:r>
    </w:p>
    <w:p w:rsidR="00000000" w:rsidDel="00000000" w:rsidP="00000000" w:rsidRDefault="00000000" w:rsidRPr="00000000" w14:paraId="0000003C">
      <w:pPr>
        <w:tabs>
          <w:tab w:val="right" w:leader="none" w:pos="0"/>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w:t>
        <w:tab/>
        <w:t xml:space="preserve">By derogation/ agreement of both parties, the final payment to the contractor of the amounts due shall be made within 10 days after receipt by the contracting authority of an invoice and of the application for the certificate of provisional acceptance.</w:t>
      </w:r>
    </w:p>
    <w:p w:rsidR="00000000" w:rsidDel="00000000" w:rsidP="00000000" w:rsidRDefault="00000000" w:rsidRPr="00000000" w14:paraId="0000003D">
      <w:pPr>
        <w:tabs>
          <w:tab w:val="right" w:leader="none" w:pos="0"/>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w:t>
        <w:tab/>
        <w:t xml:space="preserve">In order to obtain payments, the contractor must forward to the authority referred to in paragraph 26.1 above:</w:t>
      </w:r>
    </w:p>
    <w:p w:rsidR="00000000" w:rsidDel="00000000" w:rsidP="00000000" w:rsidRDefault="00000000" w:rsidRPr="00000000" w14:paraId="0000003E">
      <w:pPr>
        <w:tabs>
          <w:tab w:val="right" w:leader="none" w:pos="0"/>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w:t>
      </w:r>
      <w:r w:rsidDel="00000000" w:rsidR="00000000" w:rsidRPr="00000000">
        <w:rPr>
          <w:rFonts w:ascii="Times New Roman" w:cs="Times New Roman" w:eastAsia="Times New Roman" w:hAnsi="Times New Roman"/>
          <w:b w:val="1"/>
          <w:sz w:val="22"/>
          <w:szCs w:val="22"/>
          <w:rtl w:val="0"/>
        </w:rPr>
        <w:tab/>
      </w:r>
      <w:r w:rsidDel="00000000" w:rsidR="00000000" w:rsidRPr="00000000">
        <w:rPr>
          <w:rFonts w:ascii="Times New Roman" w:cs="Times New Roman" w:eastAsia="Times New Roman" w:hAnsi="Times New Roman"/>
          <w:sz w:val="22"/>
          <w:szCs w:val="22"/>
          <w:rtl w:val="0"/>
        </w:rPr>
        <w:t xml:space="preserve">By derogation from this article 26.5 of the general conditions, no pre-financing guarantee is required.</w:t>
      </w:r>
    </w:p>
    <w:p w:rsidR="00000000" w:rsidDel="00000000" w:rsidP="00000000" w:rsidRDefault="00000000" w:rsidRPr="00000000" w14:paraId="0000003F">
      <w:pPr>
        <w:tabs>
          <w:tab w:val="right" w:leader="none" w:pos="0"/>
        </w:tabs>
        <w:spacing w:after="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w:t>
      </w:r>
      <w:r w:rsidDel="00000000" w:rsidR="00000000" w:rsidRPr="00000000">
        <w:rPr>
          <w:rFonts w:ascii="Times New Roman" w:cs="Times New Roman" w:eastAsia="Times New Roman" w:hAnsi="Times New Roman"/>
          <w:b w:val="1"/>
          <w:sz w:val="22"/>
          <w:szCs w:val="22"/>
          <w:rtl w:val="0"/>
        </w:rPr>
        <w:tab/>
      </w:r>
      <w:r w:rsidDel="00000000" w:rsidR="00000000" w:rsidRPr="00000000">
        <w:rPr>
          <w:rFonts w:ascii="Times New Roman" w:cs="Times New Roman" w:eastAsia="Times New Roman" w:hAnsi="Times New Roman"/>
          <w:sz w:val="22"/>
          <w:szCs w:val="22"/>
          <w:rtl w:val="0"/>
        </w:rPr>
        <w:t xml:space="preserve">For the 100 % balance the invoice(s) in triplicate together with the request for provisional acceptance of the supplies.</w:t>
      </w:r>
    </w:p>
    <w:p w:rsidR="00000000" w:rsidDel="00000000" w:rsidP="00000000" w:rsidRDefault="00000000" w:rsidRPr="00000000" w14:paraId="00000040">
      <w:pPr>
        <w:tabs>
          <w:tab w:val="right" w:leader="none" w:pos="0"/>
        </w:tabs>
        <w:spacing w:before="240" w:lineRule="auto"/>
        <w:jc w:val="both"/>
        <w:rPr>
          <w:rFonts w:ascii="Times New Roman" w:cs="Times New Roman" w:eastAsia="Times New Roman" w:hAnsi="Times New Roman"/>
          <w:b w:val="1"/>
          <w:sz w:val="24"/>
          <w:szCs w:val="24"/>
        </w:rPr>
      </w:pPr>
      <w:bookmarkStart w:colFirst="0" w:colLast="0" w:name="_heading=h.2jxsxqh" w:id="20"/>
      <w:bookmarkEnd w:id="20"/>
      <w:r w:rsidDel="00000000" w:rsidR="00000000" w:rsidRPr="00000000">
        <w:rPr>
          <w:rFonts w:ascii="Times New Roman" w:cs="Times New Roman" w:eastAsia="Times New Roman" w:hAnsi="Times New Roman"/>
          <w:b w:val="1"/>
          <w:sz w:val="24"/>
          <w:szCs w:val="24"/>
          <w:rtl w:val="0"/>
        </w:rPr>
        <w:t xml:space="preserve">Article 19</w:t>
        <w:tab/>
        <w:t xml:space="preserve">Delayed payments</w:t>
      </w:r>
    </w:p>
    <w:p w:rsidR="00000000" w:rsidDel="00000000" w:rsidP="00000000" w:rsidRDefault="00000000" w:rsidRPr="00000000" w14:paraId="00000041">
      <w:pPr>
        <w:tabs>
          <w:tab w:val="right" w:leader="none" w:pos="0"/>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By derogation from Article 28.2 of the general conditions, once the deadline laid down in Article 26.3 has expired, the contractor shall, upon demand, be entitled to late-payment interest at the rate and for the period mentioned in the general conditions. The demand must be submitted within two months of receiving late payment.</w:t>
      </w:r>
    </w:p>
    <w:p w:rsidR="00000000" w:rsidDel="00000000" w:rsidP="00000000" w:rsidRDefault="00000000" w:rsidRPr="00000000" w14:paraId="00000042">
      <w:pPr>
        <w:tabs>
          <w:tab w:val="right" w:leader="none" w:pos="0"/>
        </w:tabs>
        <w:spacing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Article 20</w:t>
        <w:tab/>
        <w:t xml:space="preserve">Delivery</w:t>
      </w:r>
    </w:p>
    <w:p w:rsidR="00000000" w:rsidDel="00000000" w:rsidP="00000000" w:rsidRDefault="00000000" w:rsidRPr="00000000" w14:paraId="00000043">
      <w:pPr>
        <w:tabs>
          <w:tab w:val="right" w:leader="none" w:pos="0"/>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packaging shall become the property of the recipient subject to environmental considerations.</w:t>
      </w:r>
    </w:p>
    <w:p w:rsidR="00000000" w:rsidDel="00000000" w:rsidP="00000000" w:rsidRDefault="00000000" w:rsidRPr="00000000" w14:paraId="00000044">
      <w:pPr>
        <w:tabs>
          <w:tab w:val="right" w:leader="none" w:pos="0"/>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products must be delivered with all the required transport documents. The contractor shall be responsible for resolving any issues arising from missing documentation. The packaging must be unopened, undamaged, and include all necessary markings.</w:t>
      </w:r>
    </w:p>
    <w:p w:rsidR="00000000" w:rsidDel="00000000" w:rsidP="00000000" w:rsidRDefault="00000000" w:rsidRPr="00000000" w14:paraId="00000045">
      <w:pPr>
        <w:tabs>
          <w:tab w:val="right" w:leader="none" w:pos="0"/>
        </w:tabs>
        <w:spacing w:before="240" w:lineRule="auto"/>
        <w:jc w:val="both"/>
        <w:rPr>
          <w:rFonts w:ascii="Times New Roman" w:cs="Times New Roman" w:eastAsia="Times New Roman" w:hAnsi="Times New Roman"/>
          <w:b w:val="1"/>
          <w:sz w:val="24"/>
          <w:szCs w:val="24"/>
        </w:rPr>
      </w:pPr>
      <w:bookmarkStart w:colFirst="0" w:colLast="0" w:name="_heading=h.1y810tw" w:id="21"/>
      <w:bookmarkEnd w:id="21"/>
      <w:r w:rsidDel="00000000" w:rsidR="00000000" w:rsidRPr="00000000">
        <w:rPr>
          <w:rFonts w:ascii="Times New Roman" w:cs="Times New Roman" w:eastAsia="Times New Roman" w:hAnsi="Times New Roman"/>
          <w:b w:val="1"/>
          <w:sz w:val="24"/>
          <w:szCs w:val="24"/>
          <w:rtl w:val="0"/>
        </w:rPr>
        <w:t xml:space="preserve">Article 21</w:t>
        <w:tab/>
        <w:t xml:space="preserve">After-sales service</w:t>
      </w:r>
    </w:p>
    <w:p w:rsidR="00000000" w:rsidDel="00000000" w:rsidP="00000000" w:rsidRDefault="00000000" w:rsidRPr="00000000" w14:paraId="00000046">
      <w:pPr>
        <w:tabs>
          <w:tab w:val="right" w:leader="none" w:pos="0"/>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N/A</w:t>
      </w:r>
    </w:p>
    <w:p w:rsidR="00000000" w:rsidDel="00000000" w:rsidP="00000000" w:rsidRDefault="00000000" w:rsidRPr="00000000" w14:paraId="00000047">
      <w:pPr>
        <w:tabs>
          <w:tab w:val="right" w:leader="none" w:pos="0"/>
        </w:tabs>
        <w:spacing w:before="240" w:lineRule="auto"/>
        <w:jc w:val="both"/>
        <w:rPr>
          <w:rFonts w:ascii="Times New Roman" w:cs="Times New Roman" w:eastAsia="Times New Roman" w:hAnsi="Times New Roman"/>
          <w:b w:val="1"/>
          <w:sz w:val="24"/>
          <w:szCs w:val="24"/>
        </w:rPr>
      </w:pPr>
      <w:bookmarkStart w:colFirst="0" w:colLast="0" w:name="_heading=h.4i7ojhp" w:id="22"/>
      <w:bookmarkEnd w:id="22"/>
      <w:r w:rsidDel="00000000" w:rsidR="00000000" w:rsidRPr="00000000">
        <w:rPr>
          <w:rFonts w:ascii="Times New Roman" w:cs="Times New Roman" w:eastAsia="Times New Roman" w:hAnsi="Times New Roman"/>
          <w:b w:val="1"/>
          <w:sz w:val="24"/>
          <w:szCs w:val="24"/>
          <w:rtl w:val="0"/>
        </w:rPr>
        <w:t xml:space="preserve">Article 22</w:t>
        <w:tab/>
        <w:t xml:space="preserve">Settlement of disputes</w:t>
      </w:r>
    </w:p>
    <w:p w:rsidR="00000000" w:rsidDel="00000000" w:rsidP="00000000" w:rsidRDefault="00000000" w:rsidRPr="00000000" w14:paraId="00000048">
      <w:pPr>
        <w:tabs>
          <w:tab w:val="right" w:leader="none" w:pos="0"/>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Any disputes arising out of or relating to this contract which cannot be settled otherwise shall be referred to the exclusive jurisdiction of Türkiye in accordance with the national legislation of the state of the contracting authority. </w:t>
      </w:r>
    </w:p>
    <w:p w:rsidR="00000000" w:rsidDel="00000000" w:rsidP="00000000" w:rsidRDefault="00000000" w:rsidRPr="00000000" w14:paraId="00000049">
      <w:pPr>
        <w:keepNext w:val="1"/>
        <w:keepLines w:val="1"/>
        <w:tabs>
          <w:tab w:val="right" w:leader="none" w:pos="0"/>
          <w:tab w:val="left" w:leader="none" w:pos="1134"/>
        </w:tabs>
        <w:spacing w:befor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Article 23</w:t>
        <w:tab/>
        <w:t xml:space="preserve">Data protection</w:t>
      </w:r>
    </w:p>
    <w:p w:rsidR="00000000" w:rsidDel="00000000" w:rsidP="00000000" w:rsidRDefault="00000000" w:rsidRPr="00000000" w14:paraId="0000004A">
      <w:pPr>
        <w:tabs>
          <w:tab w:val="right" w:leader="none" w:pos="0"/>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 Processing of personal data related to the implementation of the contract by the contracting authority takes place in accordance with the national legislation of the state of the contracting authority and with the provisions of the respective financing agreement.</w:t>
      </w:r>
    </w:p>
    <w:p w:rsidR="00000000" w:rsidDel="00000000" w:rsidP="00000000" w:rsidRDefault="00000000" w:rsidRPr="00000000" w14:paraId="0000004B">
      <w:pPr>
        <w:tabs>
          <w:tab w:val="right" w:leader="none" w:pos="0"/>
        </w:tabs>
        <w:jc w:val="both"/>
        <w:rPr>
          <w:rFonts w:ascii="Times New Roman" w:cs="Times New Roman" w:eastAsia="Times New Roman" w:hAnsi="Times New Roman"/>
          <w:sz w:val="22"/>
          <w:szCs w:val="22"/>
          <w:u w:val="single"/>
        </w:rPr>
      </w:pPr>
      <w:r w:rsidDel="00000000" w:rsidR="00000000" w:rsidRPr="00000000">
        <w:rPr>
          <w:rFonts w:ascii="Times New Roman" w:cs="Times New Roman" w:eastAsia="Times New Roman" w:hAnsi="Times New Roman"/>
          <w:sz w:val="22"/>
          <w:szCs w:val="22"/>
          <w:rtl w:val="0"/>
        </w:rPr>
        <w:t xml:space="preserve">2. To the extent that the contract covers an action financed by the European Union, the Contracting Authority may share communications related to the implementation of the contract with the European Commission. These exchanges shall be made to the Commission, solely for the purpose of allowing the latter to exercise its rights and obligations under the applicable legislative framework and under the financing agreement with the Partner country – contracting authority. The exchanges may involve transfers of personal data (such as names, contact details, signatures and CVs) of natural persons involved in the implementation of the contract (such as contractors, personnel, experts, trainees, subcontractors, insurers, guarantors, auditors and legal counsel). In cases where the contractor is processing personal data in the context of the implementation of the contract, he/she shall accordingly inform the data subjects of the possible transmission of their data to the Commission. When personal data is transmitted to the Commission, the latter processes them in accordance with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w:t>
      </w:r>
      <w:r w:rsidDel="00000000" w:rsidR="00000000" w:rsidRPr="00000000">
        <w:rPr>
          <w:rFonts w:ascii="Times New Roman" w:cs="Times New Roman" w:eastAsia="Times New Roman" w:hAnsi="Times New Roman"/>
          <w:sz w:val="22"/>
          <w:szCs w:val="22"/>
          <w:vertAlign w:val="superscript"/>
        </w:rPr>
        <w:footnoteReference w:customMarkFollows="0" w:id="0"/>
      </w:r>
      <w:r w:rsidDel="00000000" w:rsidR="00000000" w:rsidRPr="00000000">
        <w:rPr>
          <w:rFonts w:ascii="Times New Roman" w:cs="Times New Roman" w:eastAsia="Times New Roman" w:hAnsi="Times New Roman"/>
          <w:sz w:val="22"/>
          <w:szCs w:val="22"/>
          <w:rtl w:val="0"/>
        </w:rPr>
        <w:t xml:space="preserve"> and as detailed in the specific privacy statement published at ePRAG.</w:t>
      </w: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right" w:leader="none" w:pos="0"/>
        </w:tabs>
        <w:spacing w:after="240" w:before="360" w:lineRule="auto"/>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 *</w:t>
      </w:r>
    </w:p>
    <w:sectPr>
      <w:footerReference r:id="rId10" w:type="default"/>
      <w:footerReference r:id="rId11" w:type="first"/>
      <w:footerReference r:id="rId12" w:type="even"/>
      <w:pgSz w:h="16838" w:w="11906" w:orient="portrait"/>
      <w:pgMar w:bottom="1276" w:top="1134" w:left="1701" w:right="1133" w:header="720" w:footer="31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center" w:leader="none" w:pos="4320"/>
        <w:tab w:val="right" w:leader="none" w:pos="864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center" w:leader="none" w:pos="4320"/>
        <w:tab w:val="right" w:leader="none" w:pos="8640"/>
      </w:tabs>
      <w:ind w:right="360"/>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center" w:leader="none" w:pos="4320"/>
        <w:tab w:val="right" w:leader="none" w:pos="8640"/>
        <w:tab w:val="right" w:leader="none" w:pos="8647"/>
      </w:tabs>
      <w:spacing w:after="0" w:lineRule="auto"/>
      <w:ind w:right="6"/>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2021.1</w:t>
    </w:r>
    <w:r w:rsidDel="00000000" w:rsidR="00000000" w:rsidRPr="00000000">
      <w:rPr>
        <w:rFonts w:ascii="Times New Roman" w:cs="Times New Roman" w:eastAsia="Times New Roman" w:hAnsi="Times New Roman"/>
        <w:color w:val="000000"/>
        <w:sz w:val="18"/>
        <w:szCs w:val="18"/>
        <w:rtl w:val="0"/>
      </w:rPr>
      <w:tab/>
      <w:t xml:space="preserve">Page </w:t>
    </w:r>
    <w:r w:rsidDel="00000000" w:rsidR="00000000" w:rsidRPr="00000000">
      <w:rPr>
        <w:rFonts w:ascii="Times New Roman" w:cs="Times New Roman" w:eastAsia="Times New Roman" w:hAnsi="Times New Roman"/>
        <w:color w:val="000000"/>
        <w:sz w:val="18"/>
        <w:szCs w:val="18"/>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18"/>
        <w:szCs w:val="18"/>
        <w:rtl w:val="0"/>
      </w:rPr>
      <w:t xml:space="preserve"> of </w:t>
    </w:r>
    <w:r w:rsidDel="00000000" w:rsidR="00000000" w:rsidRPr="00000000">
      <w:rPr>
        <w:rFonts w:ascii="Times New Roman" w:cs="Times New Roman" w:eastAsia="Times New Roman" w:hAnsi="Times New Roman"/>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51">
    <w:pPr>
      <w:spacing w:after="0" w:before="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c4d_specialconditions_en.doc</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center" w:leader="none" w:pos="4320"/>
        <w:tab w:val="right" w:leader="none" w:pos="864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center" w:leader="none" w:pos="4320"/>
        <w:tab w:val="right" w:leader="none" w:pos="8640"/>
      </w:tabs>
      <w:ind w:right="360"/>
      <w:rPr>
        <w:color w:val="000000"/>
      </w:rPr>
    </w:pPr>
    <w:r w:rsidDel="00000000" w:rsidR="00000000" w:rsidRPr="00000000">
      <w:rPr>
        <w:color w:val="000000"/>
        <w:rtl w:val="0"/>
      </w:rPr>
      <w:t xml:space="preserve">2006</w:t>
      <w:tab/>
      <w:tab/>
      <w:tab/>
      <w:tab/>
      <w:tab/>
      <w:tab/>
      <w:tab/>
      <w:tab/>
      <w:tab/>
      <w:tab/>
      <w:tab/>
      <w:tab/>
      <w:tab/>
      <w:tab/>
      <w:tab/>
      <w:tab/>
      <w:tab/>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4D">
      <w:pPr>
        <w:pBdr>
          <w:top w:space="0" w:sz="0" w:val="nil"/>
          <w:left w:space="0" w:sz="0" w:val="nil"/>
          <w:bottom w:space="0" w:sz="0" w:val="nil"/>
          <w:right w:space="0" w:sz="0" w:val="nil"/>
          <w:between w:space="0" w:sz="0" w:val="nil"/>
        </w:pBdr>
        <w:spacing w:before="0" w:lineRule="auto"/>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OJ L 205 of 21.11.2018, p. 39</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287" w:hanging="360.0000000000001"/>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_GB"/>
      </w:rPr>
    </w:rPrDefault>
    <w:pPrDefault>
      <w:pPr>
        <w:spacing w:after="120" w:before="120"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tabs>
        <w:tab w:val="right" w:leader="none" w:pos="567"/>
      </w:tabs>
      <w:spacing w:after="240" w:before="240" w:lineRule="auto"/>
      <w:ind w:left="1287" w:hanging="360"/>
      <w:jc w:val="both"/>
    </w:pPr>
    <w:rPr>
      <w:b w:val="1"/>
    </w:rPr>
  </w:style>
  <w:style w:type="paragraph" w:styleId="Heading2">
    <w:name w:val="heading 2"/>
    <w:basedOn w:val="Normal"/>
    <w:next w:val="Normal"/>
    <w:pPr>
      <w:keepNext w:val="1"/>
    </w:pPr>
    <w:rPr/>
  </w:style>
  <w:style w:type="paragraph" w:styleId="Heading3">
    <w:name w:val="heading 3"/>
    <w:basedOn w:val="Normal"/>
    <w:next w:val="Normal"/>
    <w:pPr>
      <w:keepNext w:val="1"/>
    </w:pPr>
    <w:rPr/>
  </w:style>
  <w:style w:type="paragraph" w:styleId="Heading4">
    <w:name w:val="heading 4"/>
    <w:basedOn w:val="Normal"/>
    <w:next w:val="Normal"/>
    <w:pPr>
      <w:keepNext w:val="1"/>
      <w:spacing w:after="60" w:before="240" w:lineRule="auto"/>
      <w:ind w:left="3447" w:hanging="360"/>
    </w:pPr>
    <w:rPr>
      <w:b w:val="1"/>
      <w:sz w:val="24"/>
      <w:szCs w:val="24"/>
    </w:rPr>
  </w:style>
  <w:style w:type="paragraph" w:styleId="Heading5">
    <w:name w:val="heading 5"/>
    <w:basedOn w:val="Normal"/>
    <w:next w:val="Normal"/>
    <w:pPr>
      <w:spacing w:after="60" w:before="240" w:lineRule="auto"/>
      <w:ind w:left="4167" w:hanging="360"/>
    </w:pPr>
    <w:rPr>
      <w:sz w:val="22"/>
      <w:szCs w:val="22"/>
    </w:rPr>
  </w:style>
  <w:style w:type="paragraph" w:styleId="Heading6">
    <w:name w:val="heading 6"/>
    <w:basedOn w:val="Normal"/>
    <w:next w:val="Normal"/>
    <w:pPr>
      <w:spacing w:after="60" w:before="240" w:lineRule="auto"/>
      <w:ind w:left="1152" w:hanging="1152"/>
    </w:pPr>
    <w:rPr>
      <w:i w:val="1"/>
      <w:sz w:val="22"/>
      <w:szCs w:val="22"/>
    </w:rPr>
  </w:style>
  <w:style w:type="paragraph" w:styleId="Title">
    <w:name w:val="Title"/>
    <w:basedOn w:val="Normal"/>
    <w:next w:val="Normal"/>
    <w:pPr>
      <w:jc w:val="center"/>
    </w:pPr>
    <w:rPr>
      <w:b w:val="1"/>
      <w:sz w:val="28"/>
      <w:szCs w:val="28"/>
    </w:rPr>
  </w:style>
  <w:style w:type="paragraph" w:styleId="Balk7">
    <w:name w:val="heading 7"/>
    <w:basedOn w:val="Normal"/>
    <w:next w:val="Normal"/>
    <w:link w:val="Balk7Char"/>
    <w:qFormat w:val="1"/>
    <w:pPr>
      <w:numPr>
        <w:ilvl w:val="6"/>
        <w:numId w:val="2"/>
      </w:numPr>
      <w:spacing w:after="60" w:before="240"/>
      <w:outlineLvl w:val="6"/>
    </w:pPr>
    <w:rPr>
      <w:lang w:val="sv-SE"/>
    </w:rPr>
  </w:style>
  <w:style w:type="paragraph" w:styleId="Balk8">
    <w:name w:val="heading 8"/>
    <w:basedOn w:val="Normal"/>
    <w:next w:val="Normal"/>
    <w:link w:val="Balk8Char"/>
    <w:qFormat w:val="1"/>
    <w:pPr>
      <w:numPr>
        <w:ilvl w:val="7"/>
        <w:numId w:val="2"/>
      </w:numPr>
      <w:spacing w:after="60" w:before="240"/>
      <w:outlineLvl w:val="7"/>
    </w:pPr>
    <w:rPr>
      <w:i w:val="1"/>
      <w:lang w:val="sv-SE"/>
    </w:rPr>
  </w:style>
  <w:style w:type="paragraph" w:styleId="Balk9">
    <w:name w:val="heading 9"/>
    <w:basedOn w:val="Normal"/>
    <w:next w:val="Normal"/>
    <w:link w:val="Balk9Char"/>
    <w:qFormat w:val="1"/>
    <w:pPr>
      <w:numPr>
        <w:ilvl w:val="8"/>
        <w:numId w:val="2"/>
      </w:numPr>
      <w:spacing w:after="60" w:before="240"/>
      <w:outlineLvl w:val="8"/>
    </w:pPr>
    <w:rPr>
      <w:b w:val="1"/>
      <w:i w:val="1"/>
      <w:sz w:val="18"/>
      <w:lang w:val="sv-SE"/>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GvdeMetniGirintisi">
    <w:name w:val="Body Text Indent"/>
    <w:basedOn w:val="Normal"/>
    <w:link w:val="GvdeMetniGirintisiChar"/>
    <w:pPr>
      <w:tabs>
        <w:tab w:val="num" w:pos="567"/>
      </w:tabs>
      <w:spacing w:after="0" w:before="0"/>
      <w:jc w:val="both"/>
    </w:pPr>
    <w:rPr>
      <w:rFonts w:ascii="Times New Roman" w:hAnsi="Times New Roman"/>
      <w:sz w:val="24"/>
      <w:lang w:val="sv-SE"/>
    </w:rPr>
  </w:style>
  <w:style w:type="paragraph" w:styleId="GvdeMetni">
    <w:name w:val="Body Text"/>
    <w:basedOn w:val="Normal"/>
    <w:link w:val="GvdeMetniChar"/>
    <w:rPr>
      <w:lang w:val="sv-SE"/>
    </w:rPr>
  </w:style>
  <w:style w:type="paragraph" w:styleId="GvdeMetniGirintisi2">
    <w:name w:val="Body Text Indent 2"/>
    <w:basedOn w:val="Normal"/>
    <w:link w:val="GvdeMetniGirintisi2Char"/>
    <w:pPr>
      <w:tabs>
        <w:tab w:val="num" w:pos="567"/>
        <w:tab w:val="num" w:pos="2160"/>
      </w:tabs>
      <w:spacing w:after="240"/>
      <w:ind w:left="567" w:hanging="567"/>
      <w:jc w:val="both"/>
    </w:pPr>
    <w:rPr>
      <w:sz w:val="24"/>
      <w:u w:val="single"/>
      <w:lang w:val="sv-SE"/>
    </w:rPr>
  </w:style>
  <w:style w:type="paragraph" w:styleId="GvdeMetniGirintisi3">
    <w:name w:val="Body Text Indent 3"/>
    <w:basedOn w:val="Normal"/>
    <w:link w:val="GvdeMetniGirintisi3Char"/>
    <w:pPr>
      <w:tabs>
        <w:tab w:val="left" w:pos="1276"/>
      </w:tabs>
      <w:ind w:left="1276" w:hanging="425"/>
      <w:jc w:val="both"/>
    </w:pPr>
    <w:rPr>
      <w:sz w:val="24"/>
      <w:lang w:val="sv-SE"/>
    </w:rPr>
  </w:style>
  <w:style w:type="paragraph" w:styleId="Text3" w:customStyle="1">
    <w:name w:val="Text 3"/>
    <w:basedOn w:val="Normal"/>
    <w:pPr>
      <w:tabs>
        <w:tab w:val="left" w:pos="2302"/>
      </w:tabs>
      <w:spacing w:after="240"/>
      <w:ind w:left="1202"/>
      <w:jc w:val="both"/>
    </w:pPr>
    <w:rPr>
      <w:sz w:val="24"/>
    </w:rPr>
  </w:style>
  <w:style w:type="paragraph" w:styleId="stBilgi">
    <w:name w:val="header"/>
    <w:basedOn w:val="Normal"/>
    <w:link w:val="stBilgiChar"/>
    <w:pPr>
      <w:tabs>
        <w:tab w:val="center" w:pos="4320"/>
        <w:tab w:val="right" w:pos="8640"/>
      </w:tabs>
    </w:pPr>
    <w:rPr>
      <w:lang w:val="sv-SE"/>
    </w:rPr>
  </w:style>
  <w:style w:type="paragraph" w:styleId="AltBilgi">
    <w:name w:val="footer"/>
    <w:basedOn w:val="Normal"/>
    <w:link w:val="AltBilgiChar"/>
    <w:uiPriority w:val="99"/>
    <w:pPr>
      <w:tabs>
        <w:tab w:val="center" w:pos="4320"/>
        <w:tab w:val="right" w:pos="8640"/>
      </w:tabs>
    </w:pPr>
    <w:rPr>
      <w:lang w:val="sv-SE"/>
    </w:rPr>
  </w:style>
  <w:style w:type="character" w:styleId="SayfaNumaras">
    <w:name w:val="page number"/>
    <w:basedOn w:val="VarsaylanParagrafYazTipi"/>
  </w:style>
  <w:style w:type="paragraph" w:styleId="GvdeMetni3">
    <w:name w:val="Body Text 3"/>
    <w:basedOn w:val="Normal"/>
    <w:link w:val="GvdeMetni3Char"/>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val="1"/>
      <w:spacing w:line="240" w:lineRule="exact"/>
      <w:jc w:val="both"/>
    </w:pPr>
    <w:rPr>
      <w:b w:val="1"/>
      <w:sz w:val="24"/>
    </w:rPr>
  </w:style>
  <w:style w:type="character" w:styleId="Kpr">
    <w:name w:val="Hyperlink"/>
    <w:rPr>
      <w:color w:val="0000ff"/>
      <w:u w:val="single"/>
    </w:rPr>
  </w:style>
  <w:style w:type="paragraph" w:styleId="DipnotMetni">
    <w:name w:val="footnote text"/>
    <w:aliases w:val="Schriftart: 9 pt,Schriftart: 10 pt,Schriftart: 8 pt,WB-Fußnotentext,FoodNote,ft,Footnote,Footnote Text Char Char,Footnote Text Char1 Char Char,Footnote Text Char Char Char Char,fn,f,Voetnoottekst Char,Footnote Text Char1 Cha"/>
    <w:basedOn w:val="Normal"/>
    <w:autoRedefine w:val="1"/>
    <w:qFormat w:val="1"/>
    <w:rsid w:val="001020D9"/>
    <w:pPr>
      <w:spacing w:before="0"/>
    </w:pPr>
    <w:rPr>
      <w:rFonts w:ascii="Times New Roman" w:hAnsi="Times New Roman"/>
      <w:lang w:val="fr-FR"/>
    </w:rPr>
  </w:style>
  <w:style w:type="character" w:styleId="DipnotBavurusu">
    <w:name w:val="footnote reference"/>
    <w:aliases w:val="Footnote symbol,Times 10 Point,Exposant 3 Point, Exposant 3 Point,Footnote number,Footnote Reference Number,Footnote reference number,Footnote Reference Superscript,EN Footnote Reference,note TESI,Voetnootverwijzing,fr,o,FR,FR1,note T"/>
    <w:qFormat w:val="1"/>
    <w:rPr>
      <w:vertAlign w:val="superscript"/>
    </w:rPr>
  </w:style>
  <w:style w:type="paragraph" w:styleId="BelgeBalantlar">
    <w:name w:val="Document Map"/>
    <w:basedOn w:val="Normal"/>
    <w:link w:val="BelgeBalantlarChar"/>
    <w:semiHidden w:val="1"/>
    <w:pPr>
      <w:shd w:color="auto" w:fill="000080" w:val="clear"/>
    </w:pPr>
    <w:rPr>
      <w:sz w:val="24"/>
      <w:lang w:val="fr-FR"/>
    </w:rPr>
  </w:style>
  <w:style w:type="paragraph" w:styleId="bulletsub" w:customStyle="1">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styleId="SubTitle1" w:customStyle="1">
    <w:name w:val="SubTitle 1"/>
    <w:basedOn w:val="Normal"/>
    <w:next w:val="SubTitle2"/>
    <w:pPr>
      <w:spacing w:after="240"/>
      <w:jc w:val="center"/>
    </w:pPr>
    <w:rPr>
      <w:b w:val="1"/>
      <w:sz w:val="40"/>
    </w:rPr>
  </w:style>
  <w:style w:type="paragraph" w:styleId="SubTitle2" w:customStyle="1">
    <w:name w:val="SubTitle 2"/>
    <w:basedOn w:val="Normal"/>
    <w:pPr>
      <w:spacing w:after="240"/>
      <w:jc w:val="center"/>
    </w:pPr>
    <w:rPr>
      <w:b w:val="1"/>
      <w:sz w:val="32"/>
    </w:rPr>
  </w:style>
  <w:style w:type="paragraph" w:styleId="Annexetitle" w:customStyle="1">
    <w:name w:val="Annexe_title"/>
    <w:basedOn w:val="Balk1"/>
    <w:next w:val="Normal"/>
    <w:autoRedefine w:val="1"/>
    <w:pPr>
      <w:keepNext w:val="0"/>
      <w:pageBreakBefore w:val="1"/>
      <w:numPr>
        <w:numId w:val="0"/>
      </w:numPr>
      <w:tabs>
        <w:tab w:val="left" w:pos="567"/>
        <w:tab w:val="left" w:pos="2552"/>
        <w:tab w:val="left" w:pos="7938"/>
        <w:tab w:val="left" w:pos="9072"/>
      </w:tabs>
      <w:spacing w:after="0" w:before="0"/>
      <w:jc w:val="left"/>
      <w:outlineLvl w:val="9"/>
    </w:pPr>
    <w:rPr>
      <w:caps w:val="1"/>
      <w:sz w:val="28"/>
      <w:lang w:val="en-GB"/>
    </w:rPr>
  </w:style>
  <w:style w:type="paragraph" w:styleId="Style1" w:customStyle="1">
    <w:name w:val="Style1"/>
    <w:basedOn w:val="Normal"/>
    <w:pPr>
      <w:keepNext w:val="1"/>
      <w:widowControl w:val="0"/>
      <w:tabs>
        <w:tab w:val="num" w:pos="992"/>
      </w:tabs>
      <w:ind w:left="992" w:hanging="992"/>
    </w:pPr>
    <w:rPr>
      <w:b w:val="1"/>
      <w:sz w:val="18"/>
      <w:lang w:val="fr-FR"/>
    </w:rPr>
  </w:style>
  <w:style w:type="paragraph" w:styleId="titlefront" w:customStyle="1">
    <w:name w:val="title_front"/>
    <w:basedOn w:val="Normal"/>
    <w:pPr>
      <w:spacing w:before="240"/>
      <w:ind w:left="1701"/>
      <w:jc w:val="right"/>
    </w:pPr>
    <w:rPr>
      <w:rFonts w:ascii="Optima" w:hAnsi="Optima"/>
      <w:b w:val="1"/>
      <w:sz w:val="28"/>
    </w:rPr>
  </w:style>
  <w:style w:type="paragraph" w:styleId="T1">
    <w:name w:val="toc 1"/>
    <w:basedOn w:val="Normal"/>
    <w:next w:val="Normal"/>
    <w:autoRedefine w:val="1"/>
    <w:semiHidden w:val="1"/>
    <w:pPr>
      <w:tabs>
        <w:tab w:val="left" w:pos="567"/>
        <w:tab w:val="left" w:pos="600"/>
        <w:tab w:val="left" w:pos="851"/>
        <w:tab w:val="left" w:pos="1200"/>
        <w:tab w:val="left" w:pos="1418"/>
        <w:tab w:val="left" w:pos="1985"/>
        <w:tab w:val="right" w:leader="dot" w:pos="8777"/>
      </w:tabs>
      <w:spacing w:after="60" w:before="60"/>
      <w:ind w:left="567" w:hanging="567"/>
    </w:pPr>
    <w:rPr>
      <w:b w:val="1"/>
      <w:i w:val="1"/>
      <w:caps w:val="1"/>
      <w:noProof w:val="1"/>
    </w:rPr>
  </w:style>
  <w:style w:type="paragraph" w:styleId="T2">
    <w:name w:val="toc 2"/>
    <w:basedOn w:val="Normal"/>
    <w:next w:val="Normal"/>
    <w:autoRedefine w:val="1"/>
    <w:semiHidden w:val="1"/>
    <w:pPr>
      <w:spacing w:after="0" w:before="0"/>
      <w:ind w:left="200"/>
    </w:pPr>
    <w:rPr>
      <w:rFonts w:ascii="Times New Roman" w:hAnsi="Times New Roman"/>
      <w:smallCaps w:val="1"/>
    </w:rPr>
  </w:style>
  <w:style w:type="character" w:styleId="Gl">
    <w:name w:val="Strong"/>
    <w:qFormat w:val="1"/>
    <w:rPr>
      <w:b w:val="1"/>
    </w:rPr>
  </w:style>
  <w:style w:type="paragraph" w:styleId="Blockquote" w:customStyle="1">
    <w:name w:val="Blockquote"/>
    <w:basedOn w:val="Normal"/>
    <w:pPr>
      <w:widowControl w:val="0"/>
      <w:spacing w:after="100" w:before="100"/>
      <w:ind w:left="360" w:right="360"/>
    </w:pPr>
    <w:rPr>
      <w:sz w:val="24"/>
      <w:lang w:val="en-US"/>
    </w:rPr>
  </w:style>
  <w:style w:type="paragraph" w:styleId="T3">
    <w:name w:val="toc 3"/>
    <w:basedOn w:val="Normal"/>
    <w:next w:val="Normal"/>
    <w:autoRedefine w:val="1"/>
    <w:semiHidden w:val="1"/>
    <w:pPr>
      <w:spacing w:after="0" w:before="0"/>
      <w:ind w:left="400"/>
    </w:pPr>
    <w:rPr>
      <w:rFonts w:ascii="Times New Roman" w:hAnsi="Times New Roman"/>
      <w:i w:val="1"/>
    </w:rPr>
  </w:style>
  <w:style w:type="paragraph" w:styleId="T4">
    <w:name w:val="toc 4"/>
    <w:basedOn w:val="Normal"/>
    <w:next w:val="Normal"/>
    <w:autoRedefine w:val="1"/>
    <w:semiHidden w:val="1"/>
    <w:pPr>
      <w:spacing w:after="0" w:before="0"/>
      <w:ind w:left="600"/>
    </w:pPr>
    <w:rPr>
      <w:rFonts w:ascii="Times New Roman" w:hAnsi="Times New Roman"/>
      <w:sz w:val="18"/>
    </w:rPr>
  </w:style>
  <w:style w:type="paragraph" w:styleId="T5">
    <w:name w:val="toc 5"/>
    <w:basedOn w:val="Normal"/>
    <w:next w:val="Normal"/>
    <w:autoRedefine w:val="1"/>
    <w:semiHidden w:val="1"/>
    <w:pPr>
      <w:spacing w:after="0" w:before="0"/>
      <w:ind w:left="800"/>
    </w:pPr>
    <w:rPr>
      <w:rFonts w:ascii="Times New Roman" w:hAnsi="Times New Roman"/>
      <w:sz w:val="18"/>
    </w:rPr>
  </w:style>
  <w:style w:type="paragraph" w:styleId="T6">
    <w:name w:val="toc 6"/>
    <w:basedOn w:val="Normal"/>
    <w:next w:val="Normal"/>
    <w:autoRedefine w:val="1"/>
    <w:semiHidden w:val="1"/>
    <w:pPr>
      <w:spacing w:after="0" w:before="0"/>
      <w:ind w:left="1000"/>
    </w:pPr>
    <w:rPr>
      <w:rFonts w:ascii="Times New Roman" w:hAnsi="Times New Roman"/>
      <w:sz w:val="18"/>
    </w:rPr>
  </w:style>
  <w:style w:type="paragraph" w:styleId="T7">
    <w:name w:val="toc 7"/>
    <w:basedOn w:val="Normal"/>
    <w:next w:val="Normal"/>
    <w:autoRedefine w:val="1"/>
    <w:semiHidden w:val="1"/>
    <w:pPr>
      <w:spacing w:after="0" w:before="0"/>
      <w:ind w:left="1200"/>
    </w:pPr>
    <w:rPr>
      <w:rFonts w:ascii="Times New Roman" w:hAnsi="Times New Roman"/>
      <w:sz w:val="18"/>
    </w:rPr>
  </w:style>
  <w:style w:type="paragraph" w:styleId="T8">
    <w:name w:val="toc 8"/>
    <w:basedOn w:val="Normal"/>
    <w:next w:val="Normal"/>
    <w:autoRedefine w:val="1"/>
    <w:semiHidden w:val="1"/>
    <w:pPr>
      <w:spacing w:after="0" w:before="0"/>
      <w:ind w:left="1400"/>
    </w:pPr>
    <w:rPr>
      <w:rFonts w:ascii="Times New Roman" w:hAnsi="Times New Roman"/>
      <w:sz w:val="18"/>
    </w:rPr>
  </w:style>
  <w:style w:type="paragraph" w:styleId="T9">
    <w:name w:val="toc 9"/>
    <w:basedOn w:val="Normal"/>
    <w:next w:val="Normal"/>
    <w:autoRedefine w:val="1"/>
    <w:semiHidden w:val="1"/>
    <w:pPr>
      <w:spacing w:after="0" w:before="0"/>
      <w:ind w:left="1600"/>
    </w:pPr>
    <w:rPr>
      <w:rFonts w:ascii="Times New Roman" w:hAnsi="Times New Roman"/>
      <w:sz w:val="18"/>
    </w:rPr>
  </w:style>
  <w:style w:type="character" w:styleId="zlenenKpr">
    <w:name w:val="FollowedHyperlink"/>
    <w:rPr>
      <w:color w:val="800080"/>
      <w:u w:val="single"/>
    </w:rPr>
  </w:style>
  <w:style w:type="paragraph" w:styleId="Style2" w:customStyle="1">
    <w:name w:val="Style2"/>
    <w:basedOn w:val="Style1"/>
    <w:pPr>
      <w:tabs>
        <w:tab w:val="clear" w:pos="992"/>
        <w:tab w:val="num" w:pos="2091"/>
      </w:tabs>
      <w:ind w:left="2977"/>
      <w:jc w:val="both"/>
    </w:pPr>
  </w:style>
  <w:style w:type="paragraph" w:styleId="text" w:customStyle="1">
    <w:name w:val="text"/>
    <w:pPr>
      <w:widowControl w:val="0"/>
      <w:spacing w:before="240" w:line="240" w:lineRule="exact"/>
      <w:jc w:val="both"/>
    </w:pPr>
    <w:rPr>
      <w:snapToGrid w:val="0"/>
      <w:sz w:val="24"/>
      <w:lang w:eastAsia="en-US" w:val="cs-CZ"/>
    </w:rPr>
  </w:style>
  <w:style w:type="paragraph" w:styleId="Section" w:customStyle="1">
    <w:name w:val="Section"/>
    <w:basedOn w:val="Normal"/>
    <w:pPr>
      <w:widowControl w:val="0"/>
      <w:spacing w:after="0" w:before="0" w:line="360" w:lineRule="exact"/>
      <w:jc w:val="center"/>
    </w:pPr>
    <w:rPr>
      <w:b w:val="1"/>
      <w:sz w:val="32"/>
      <w:lang w:val="cs-CZ"/>
    </w:rPr>
  </w:style>
  <w:style w:type="paragraph" w:styleId="ManualNumPar1" w:customStyle="1">
    <w:name w:val="Manual NumPar 1"/>
    <w:basedOn w:val="Normal"/>
    <w:next w:val="Normal"/>
    <w:pPr>
      <w:ind w:left="851" w:hanging="851"/>
      <w:jc w:val="both"/>
    </w:pPr>
    <w:rPr>
      <w:rFonts w:ascii="Times New Roman" w:hAnsi="Times New Roman"/>
      <w:sz w:val="24"/>
      <w:lang w:val="fr-FR"/>
    </w:rPr>
  </w:style>
  <w:style w:type="table" w:styleId="TabloKlavuzu">
    <w:name w:val="Table Grid"/>
    <w:basedOn w:val="NormalTablo"/>
    <w:rsid w:val="00F90A9F"/>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GvdeMetni2">
    <w:name w:val="Body Text 2"/>
    <w:basedOn w:val="Normal"/>
    <w:link w:val="GvdeMetni2Char"/>
    <w:rsid w:val="00AE7D13"/>
    <w:pPr>
      <w:tabs>
        <w:tab w:val="num" w:pos="567"/>
      </w:tabs>
      <w:spacing w:after="0" w:before="0"/>
      <w:jc w:val="both"/>
    </w:pPr>
    <w:rPr>
      <w:rFonts w:ascii="Times New Roman" w:hAnsi="Times New Roman"/>
      <w:snapToGrid w:val="1"/>
      <w:sz w:val="24"/>
      <w:lang w:eastAsia="en-GB" w:val="sv-SE"/>
    </w:rPr>
  </w:style>
  <w:style w:type="paragraph" w:styleId="oddl-nadpis" w:customStyle="1">
    <w:name w:val="oddíl-nadpis"/>
    <w:basedOn w:val="Normal"/>
    <w:rsid w:val="000417E2"/>
    <w:pPr>
      <w:keepNext w:val="1"/>
      <w:widowControl w:val="0"/>
      <w:tabs>
        <w:tab w:val="left" w:pos="567"/>
      </w:tabs>
      <w:spacing w:after="0" w:before="240" w:line="240" w:lineRule="exact"/>
    </w:pPr>
    <w:rPr>
      <w:b w:val="1"/>
      <w:sz w:val="24"/>
      <w:lang w:val="cs-CZ"/>
    </w:rPr>
  </w:style>
  <w:style w:type="paragraph" w:styleId="BalonMetni">
    <w:name w:val="Balloon Text"/>
    <w:basedOn w:val="Normal"/>
    <w:semiHidden w:val="1"/>
    <w:rsid w:val="00DE13B8"/>
    <w:rPr>
      <w:rFonts w:ascii="Tahoma" w:cs="Tahoma" w:hAnsi="Tahoma"/>
      <w:sz w:val="16"/>
      <w:szCs w:val="16"/>
    </w:rPr>
  </w:style>
  <w:style w:type="paragraph" w:styleId="StyleHeading1TimesNewRoman14ptItalic" w:customStyle="1">
    <w:name w:val="Style Heading 1 + Times New Roman 14 pt Italic"/>
    <w:basedOn w:val="Balk1"/>
    <w:autoRedefine w:val="1"/>
    <w:rsid w:val="0047783A"/>
    <w:pPr>
      <w:numPr>
        <w:numId w:val="1"/>
      </w:numPr>
    </w:pPr>
    <w:rPr>
      <w:rFonts w:ascii="Times New Roman" w:hAnsi="Times New Roman"/>
      <w:bCs w:val="1"/>
      <w:iCs w:val="1"/>
      <w:sz w:val="24"/>
      <w:szCs w:val="24"/>
    </w:rPr>
  </w:style>
  <w:style w:type="character" w:styleId="Balk2Char" w:customStyle="1">
    <w:name w:val="Başlık 2 Char"/>
    <w:link w:val="Balk2"/>
    <w:semiHidden w:val="1"/>
    <w:locked w:val="1"/>
    <w:rsid w:val="0047783A"/>
    <w:rPr>
      <w:rFonts w:ascii="Arial" w:hAnsi="Arial"/>
      <w:snapToGrid w:val="0"/>
      <w:lang w:bidi="ar-SA" w:eastAsia="en-US" w:val="fr-BE"/>
    </w:rPr>
  </w:style>
  <w:style w:type="character" w:styleId="Balk1Char" w:customStyle="1">
    <w:name w:val="Başlık 1 Char"/>
    <w:link w:val="Balk1"/>
    <w:rsid w:val="0047783A"/>
    <w:rPr>
      <w:rFonts w:ascii="Arial" w:hAnsi="Arial"/>
      <w:b w:val="1"/>
      <w:snapToGrid w:val="0"/>
      <w:lang w:bidi="ar-SA" w:eastAsia="en-US" w:val="fr-BE"/>
    </w:rPr>
  </w:style>
  <w:style w:type="character" w:styleId="Heading1Char" w:customStyle="1">
    <w:name w:val="Heading 1 Char"/>
    <w:locked w:val="1"/>
    <w:rsid w:val="0047783A"/>
    <w:rPr>
      <w:b w:val="1"/>
      <w:sz w:val="24"/>
      <w:szCs w:val="24"/>
      <w:lang w:bidi="ar-SA" w:eastAsia="en-US" w:val="en-GB"/>
    </w:rPr>
  </w:style>
  <w:style w:type="character" w:styleId="Balk3Char" w:customStyle="1">
    <w:name w:val="Başlık 3 Char"/>
    <w:link w:val="Balk3"/>
    <w:semiHidden w:val="1"/>
    <w:locked w:val="1"/>
    <w:rsid w:val="0047783A"/>
    <w:rPr>
      <w:rFonts w:ascii="Arial" w:hAnsi="Arial"/>
      <w:snapToGrid w:val="0"/>
      <w:lang w:bidi="ar-SA" w:eastAsia="en-US" w:val="en-GB"/>
    </w:rPr>
  </w:style>
  <w:style w:type="character" w:styleId="Balk4Char" w:customStyle="1">
    <w:name w:val="Başlık 4 Char"/>
    <w:link w:val="Balk4"/>
    <w:semiHidden w:val="1"/>
    <w:locked w:val="1"/>
    <w:rsid w:val="0047783A"/>
    <w:rPr>
      <w:rFonts w:ascii="Arial" w:hAnsi="Arial"/>
      <w:b w:val="1"/>
      <w:snapToGrid w:val="0"/>
      <w:sz w:val="24"/>
      <w:lang w:bidi="ar-SA" w:eastAsia="en-US" w:val="sv-SE"/>
    </w:rPr>
  </w:style>
  <w:style w:type="character" w:styleId="Balk5Char" w:customStyle="1">
    <w:name w:val="Başlık 5 Char"/>
    <w:link w:val="Balk5"/>
    <w:semiHidden w:val="1"/>
    <w:locked w:val="1"/>
    <w:rsid w:val="0047783A"/>
    <w:rPr>
      <w:rFonts w:ascii="Arial" w:hAnsi="Arial"/>
      <w:snapToGrid w:val="0"/>
      <w:sz w:val="22"/>
      <w:lang w:bidi="ar-SA" w:eastAsia="en-US" w:val="sv-SE"/>
    </w:rPr>
  </w:style>
  <w:style w:type="character" w:styleId="Balk6Char" w:customStyle="1">
    <w:name w:val="Başlık 6 Char"/>
    <w:link w:val="Balk6"/>
    <w:semiHidden w:val="1"/>
    <w:locked w:val="1"/>
    <w:rsid w:val="0047783A"/>
    <w:rPr>
      <w:rFonts w:ascii="Arial" w:hAnsi="Arial"/>
      <w:i w:val="1"/>
      <w:snapToGrid w:val="0"/>
      <w:sz w:val="22"/>
      <w:lang w:bidi="ar-SA" w:eastAsia="en-US" w:val="sv-SE"/>
    </w:rPr>
  </w:style>
  <w:style w:type="character" w:styleId="Balk7Char" w:customStyle="1">
    <w:name w:val="Başlık 7 Char"/>
    <w:link w:val="Balk7"/>
    <w:semiHidden w:val="1"/>
    <w:locked w:val="1"/>
    <w:rsid w:val="0047783A"/>
    <w:rPr>
      <w:rFonts w:ascii="Arial" w:hAnsi="Arial"/>
      <w:snapToGrid w:val="0"/>
      <w:lang w:bidi="ar-SA" w:eastAsia="en-US" w:val="sv-SE"/>
    </w:rPr>
  </w:style>
  <w:style w:type="character" w:styleId="Balk8Char" w:customStyle="1">
    <w:name w:val="Başlık 8 Char"/>
    <w:link w:val="Balk8"/>
    <w:semiHidden w:val="1"/>
    <w:locked w:val="1"/>
    <w:rsid w:val="0047783A"/>
    <w:rPr>
      <w:rFonts w:ascii="Arial" w:hAnsi="Arial"/>
      <w:i w:val="1"/>
      <w:snapToGrid w:val="0"/>
      <w:lang w:bidi="ar-SA" w:eastAsia="en-US" w:val="sv-SE"/>
    </w:rPr>
  </w:style>
  <w:style w:type="character" w:styleId="Balk9Char" w:customStyle="1">
    <w:name w:val="Başlık 9 Char"/>
    <w:link w:val="Balk9"/>
    <w:semiHidden w:val="1"/>
    <w:locked w:val="1"/>
    <w:rsid w:val="0047783A"/>
    <w:rPr>
      <w:rFonts w:ascii="Arial" w:hAnsi="Arial"/>
      <w:b w:val="1"/>
      <w:i w:val="1"/>
      <w:snapToGrid w:val="0"/>
      <w:sz w:val="18"/>
      <w:lang w:bidi="ar-SA" w:eastAsia="en-US" w:val="sv-SE"/>
    </w:rPr>
  </w:style>
  <w:style w:type="character" w:styleId="KonuBalChar" w:customStyle="1">
    <w:name w:val="Konu Başlığı Char"/>
    <w:link w:val="KonuBal"/>
    <w:locked w:val="1"/>
    <w:rsid w:val="0047783A"/>
    <w:rPr>
      <w:rFonts w:ascii="Arial" w:hAnsi="Arial"/>
      <w:b w:val="1"/>
      <w:snapToGrid w:val="0"/>
      <w:sz w:val="28"/>
      <w:lang w:bidi="ar-SA" w:eastAsia="en-US" w:val="fr-BE"/>
    </w:rPr>
  </w:style>
  <w:style w:type="character" w:styleId="AltyazChar" w:customStyle="1">
    <w:name w:val="Altyazı Char"/>
    <w:link w:val="Altyaz"/>
    <w:locked w:val="1"/>
    <w:rsid w:val="0047783A"/>
    <w:rPr>
      <w:rFonts w:ascii="Arial" w:hAnsi="Arial"/>
      <w:b w:val="1"/>
      <w:snapToGrid w:val="0"/>
      <w:sz w:val="28"/>
      <w:lang w:bidi="ar-SA" w:eastAsia="en-US" w:val="fr-BE"/>
    </w:rPr>
  </w:style>
  <w:style w:type="character" w:styleId="GvdeMetniGirintisiChar" w:customStyle="1">
    <w:name w:val="Gövde Metni Girintisi Char"/>
    <w:link w:val="GvdeMetniGirintisi"/>
    <w:semiHidden w:val="1"/>
    <w:locked w:val="1"/>
    <w:rsid w:val="0047783A"/>
    <w:rPr>
      <w:snapToGrid w:val="0"/>
      <w:sz w:val="24"/>
      <w:lang w:bidi="ar-SA" w:eastAsia="en-US" w:val="sv-SE"/>
    </w:rPr>
  </w:style>
  <w:style w:type="character" w:styleId="GvdeMetniChar" w:customStyle="1">
    <w:name w:val="Gövde Metni Char"/>
    <w:link w:val="GvdeMetni"/>
    <w:semiHidden w:val="1"/>
    <w:locked w:val="1"/>
    <w:rsid w:val="0047783A"/>
    <w:rPr>
      <w:rFonts w:ascii="Arial" w:hAnsi="Arial"/>
      <w:snapToGrid w:val="0"/>
      <w:lang w:bidi="ar-SA" w:eastAsia="en-US" w:val="sv-SE"/>
    </w:rPr>
  </w:style>
  <w:style w:type="character" w:styleId="GvdeMetniGirintisi2Char" w:customStyle="1">
    <w:name w:val="Gövde Metni Girintisi 2 Char"/>
    <w:link w:val="GvdeMetniGirintisi2"/>
    <w:semiHidden w:val="1"/>
    <w:locked w:val="1"/>
    <w:rsid w:val="0047783A"/>
    <w:rPr>
      <w:rFonts w:ascii="Arial" w:hAnsi="Arial"/>
      <w:snapToGrid w:val="0"/>
      <w:sz w:val="24"/>
      <w:u w:val="single"/>
      <w:lang w:bidi="ar-SA" w:eastAsia="en-US" w:val="sv-SE"/>
    </w:rPr>
  </w:style>
  <w:style w:type="character" w:styleId="GvdeMetniGirintisi3Char" w:customStyle="1">
    <w:name w:val="Gövde Metni Girintisi 3 Char"/>
    <w:link w:val="GvdeMetniGirintisi3"/>
    <w:semiHidden w:val="1"/>
    <w:locked w:val="1"/>
    <w:rsid w:val="0047783A"/>
    <w:rPr>
      <w:rFonts w:ascii="Arial" w:hAnsi="Arial"/>
      <w:snapToGrid w:val="0"/>
      <w:sz w:val="24"/>
      <w:lang w:bidi="ar-SA" w:eastAsia="en-US" w:val="sv-SE"/>
    </w:rPr>
  </w:style>
  <w:style w:type="character" w:styleId="stBilgiChar" w:customStyle="1">
    <w:name w:val="Üst Bilgi Char"/>
    <w:link w:val="stBilgi"/>
    <w:semiHidden w:val="1"/>
    <w:locked w:val="1"/>
    <w:rsid w:val="0047783A"/>
    <w:rPr>
      <w:rFonts w:ascii="Arial" w:hAnsi="Arial"/>
      <w:snapToGrid w:val="0"/>
      <w:lang w:bidi="ar-SA" w:eastAsia="en-US" w:val="sv-SE"/>
    </w:rPr>
  </w:style>
  <w:style w:type="character" w:styleId="AltBilgiChar" w:customStyle="1">
    <w:name w:val="Alt Bilgi Char"/>
    <w:link w:val="AltBilgi"/>
    <w:uiPriority w:val="99"/>
    <w:locked w:val="1"/>
    <w:rsid w:val="0047783A"/>
    <w:rPr>
      <w:rFonts w:ascii="Arial" w:hAnsi="Arial"/>
      <w:snapToGrid w:val="0"/>
      <w:lang w:bidi="ar-SA" w:eastAsia="en-US" w:val="sv-SE"/>
    </w:rPr>
  </w:style>
  <w:style w:type="character" w:styleId="GvdeMetni3Char" w:customStyle="1">
    <w:name w:val="Gövde Metni 3 Char"/>
    <w:link w:val="GvdeMetni3"/>
    <w:semiHidden w:val="1"/>
    <w:locked w:val="1"/>
    <w:rsid w:val="0047783A"/>
    <w:rPr>
      <w:rFonts w:ascii="Arial" w:hAnsi="Arial"/>
      <w:b w:val="1"/>
      <w:snapToGrid w:val="0"/>
      <w:sz w:val="24"/>
      <w:lang w:bidi="ar-SA" w:eastAsia="en-US" w:val="en-GB"/>
    </w:rPr>
  </w:style>
  <w:style w:type="character" w:styleId="FootnoteTextChar" w:customStyle="1">
    <w:name w:val="Footnote Text Char"/>
    <w:aliases w:val="Schriftart: 9 pt Char,Schriftart: 10 pt Char,Schriftart: 8 pt Char,WB-Fußnotentext Char,FoodNote Char,ft Char,Footnote Char,Footnote Text Char Char Char,Footnote Text Char1 Char Char Char,Footnote Text Char Char Char Char Char,fn Char"/>
    <w:locked w:val="1"/>
    <w:rsid w:val="0047783A"/>
    <w:rPr>
      <w:rFonts w:ascii="Arial" w:hAnsi="Arial"/>
      <w:snapToGrid w:val="0"/>
      <w:lang w:bidi="ar-SA" w:eastAsia="en-US" w:val="fr-FR"/>
    </w:rPr>
  </w:style>
  <w:style w:type="character" w:styleId="BelgeBalantlarChar" w:customStyle="1">
    <w:name w:val="Belge Bağlantıları Char"/>
    <w:link w:val="BelgeBalantlar"/>
    <w:semiHidden w:val="1"/>
    <w:locked w:val="1"/>
    <w:rsid w:val="0047783A"/>
    <w:rPr>
      <w:rFonts w:ascii="Arial" w:hAnsi="Arial"/>
      <w:snapToGrid w:val="0"/>
      <w:sz w:val="24"/>
      <w:lang w:bidi="ar-SA" w:eastAsia="en-US" w:val="fr-FR"/>
    </w:rPr>
  </w:style>
  <w:style w:type="character" w:styleId="GvdeMetni2Char" w:customStyle="1">
    <w:name w:val="Gövde Metni 2 Char"/>
    <w:link w:val="GvdeMetni2"/>
    <w:semiHidden w:val="1"/>
    <w:locked w:val="1"/>
    <w:rsid w:val="0047783A"/>
    <w:rPr>
      <w:sz w:val="24"/>
      <w:lang w:bidi="ar-SA" w:eastAsia="en-GB" w:val="sv-SE"/>
    </w:rPr>
  </w:style>
  <w:style w:type="paragraph" w:styleId="StyleHeading3" w:customStyle="1">
    <w:name w:val="Style Heading 3"/>
    <w:basedOn w:val="Normal"/>
    <w:rsid w:val="0047783A"/>
    <w:pPr>
      <w:tabs>
        <w:tab w:val="num" w:pos="567"/>
      </w:tabs>
      <w:ind w:left="1134" w:hanging="567"/>
    </w:pPr>
    <w:rPr>
      <w:snapToGrid w:val="1"/>
    </w:rPr>
  </w:style>
  <w:style w:type="paragraph" w:styleId="Style11ptBlackJustifiedRight001cmBefore865ptL" w:customStyle="1">
    <w:name w:val="Style 11 pt Black Justified Right:  001 cm Before:  865 pt L..."/>
    <w:basedOn w:val="Normal"/>
    <w:next w:val="Normal"/>
    <w:autoRedefine w:val="1"/>
    <w:rsid w:val="0047783A"/>
    <w:pPr>
      <w:numPr>
        <w:numId w:val="3"/>
      </w:numPr>
      <w:shd w:color="auto" w:fill="ffffff" w:val="clear"/>
      <w:tabs>
        <w:tab w:val="right" w:pos="1701"/>
      </w:tabs>
      <w:spacing w:before="60" w:line="212" w:lineRule="exact"/>
      <w:ind w:right="6"/>
      <w:jc w:val="both"/>
    </w:pPr>
    <w:rPr>
      <w:rFonts w:ascii="Times New Roman" w:hAnsi="Times New Roman"/>
      <w:snapToGrid w:val="1"/>
      <w:color w:val="000000"/>
      <w:sz w:val="22"/>
      <w:lang w:eastAsia="en-GB"/>
    </w:rPr>
  </w:style>
  <w:style w:type="character" w:styleId="SonNotBavurusu">
    <w:name w:val="endnote reference"/>
    <w:semiHidden w:val="1"/>
    <w:rsid w:val="0047783A"/>
    <w:rPr>
      <w:vertAlign w:val="superscript"/>
    </w:rPr>
  </w:style>
  <w:style w:type="paragraph" w:styleId="SonNotMetni">
    <w:name w:val="endnote text"/>
    <w:basedOn w:val="Normal"/>
    <w:semiHidden w:val="1"/>
    <w:rsid w:val="0047783A"/>
  </w:style>
  <w:style w:type="paragraph" w:styleId="NormalInd1" w:customStyle="1">
    <w:name w:val="Normal Ind 1"/>
    <w:basedOn w:val="Normal"/>
    <w:rsid w:val="0047783A"/>
    <w:pPr>
      <w:tabs>
        <w:tab w:val="left" w:pos="2268"/>
      </w:tabs>
      <w:overflowPunct w:val="0"/>
      <w:autoSpaceDE w:val="0"/>
      <w:autoSpaceDN w:val="0"/>
      <w:adjustRightInd w:val="0"/>
      <w:spacing w:after="0" w:before="0"/>
      <w:ind w:left="567"/>
      <w:textAlignment w:val="baseline"/>
    </w:pPr>
    <w:rPr>
      <w:rFonts w:ascii="Times New Roman" w:hAnsi="Times New Roman"/>
      <w:bCs w:val="1"/>
      <w:snapToGrid w:val="1"/>
      <w:sz w:val="22"/>
      <w:szCs w:val="22"/>
      <w:lang w:val="fr-FR"/>
    </w:rPr>
  </w:style>
  <w:style w:type="character" w:styleId="Style11pt" w:customStyle="1">
    <w:name w:val="Style 11 pt"/>
    <w:rsid w:val="0047783A"/>
    <w:rPr>
      <w:sz w:val="22"/>
    </w:rPr>
  </w:style>
  <w:style w:type="paragraph" w:styleId="Char2" w:customStyle="1">
    <w:name w:val="Char2"/>
    <w:basedOn w:val="Normal"/>
    <w:rsid w:val="0047783A"/>
    <w:pPr>
      <w:spacing w:after="160" w:before="0" w:line="240" w:lineRule="exact"/>
    </w:pPr>
    <w:rPr>
      <w:rFonts w:ascii="Tahoma" w:hAnsi="Tahoma"/>
      <w:snapToGrid w:val="1"/>
      <w:lang w:val="en-US"/>
    </w:rPr>
  </w:style>
  <w:style w:type="character" w:styleId="AklamaBavurusu">
    <w:name w:val="annotation reference"/>
    <w:uiPriority w:val="99"/>
    <w:semiHidden w:val="1"/>
    <w:rsid w:val="00EE23B1"/>
    <w:rPr>
      <w:sz w:val="16"/>
      <w:szCs w:val="16"/>
    </w:rPr>
  </w:style>
  <w:style w:type="paragraph" w:styleId="AklamaMetni">
    <w:name w:val="annotation text"/>
    <w:basedOn w:val="Normal"/>
    <w:link w:val="AklamaMetniChar"/>
    <w:semiHidden w:val="1"/>
    <w:rsid w:val="00EE23B1"/>
  </w:style>
  <w:style w:type="paragraph" w:styleId="AklamaKonusu">
    <w:name w:val="annotation subject"/>
    <w:basedOn w:val="AklamaMetni"/>
    <w:next w:val="AklamaMetni"/>
    <w:semiHidden w:val="1"/>
    <w:rsid w:val="00EE23B1"/>
    <w:rPr>
      <w:b w:val="1"/>
      <w:bCs w:val="1"/>
    </w:rPr>
  </w:style>
  <w:style w:type="paragraph" w:styleId="ListeNumaras">
    <w:name w:val="List Number"/>
    <w:basedOn w:val="Normal"/>
    <w:rsid w:val="00EB45CB"/>
    <w:pPr>
      <w:tabs>
        <w:tab w:val="num" w:pos="720"/>
      </w:tabs>
      <w:spacing w:after="240" w:before="0"/>
      <w:ind w:left="720" w:hanging="720"/>
      <w:jc w:val="both"/>
    </w:pPr>
    <w:rPr>
      <w:rFonts w:ascii="Times New Roman" w:hAnsi="Times New Roman"/>
      <w:snapToGrid w:val="1"/>
      <w:sz w:val="24"/>
    </w:rPr>
  </w:style>
  <w:style w:type="paragraph" w:styleId="ListNumberLevel2" w:customStyle="1">
    <w:name w:val="List Number (Level 2)"/>
    <w:basedOn w:val="Normal"/>
    <w:rsid w:val="00EB45CB"/>
    <w:pPr>
      <w:numPr>
        <w:ilvl w:val="1"/>
        <w:numId w:val="4"/>
      </w:numPr>
      <w:spacing w:after="240" w:before="0"/>
      <w:jc w:val="both"/>
    </w:pPr>
    <w:rPr>
      <w:rFonts w:ascii="Times New Roman" w:hAnsi="Times New Roman"/>
      <w:snapToGrid w:val="1"/>
      <w:sz w:val="24"/>
    </w:rPr>
  </w:style>
  <w:style w:type="paragraph" w:styleId="ListNumberLevel3" w:customStyle="1">
    <w:name w:val="List Number (Level 3)"/>
    <w:basedOn w:val="Normal"/>
    <w:rsid w:val="00EB45CB"/>
    <w:pPr>
      <w:numPr>
        <w:ilvl w:val="2"/>
        <w:numId w:val="4"/>
      </w:numPr>
      <w:spacing w:after="240" w:before="0"/>
      <w:jc w:val="both"/>
    </w:pPr>
    <w:rPr>
      <w:rFonts w:ascii="Times New Roman" w:hAnsi="Times New Roman"/>
      <w:snapToGrid w:val="1"/>
      <w:sz w:val="24"/>
    </w:rPr>
  </w:style>
  <w:style w:type="paragraph" w:styleId="ListNumberLevel4" w:customStyle="1">
    <w:name w:val="List Number (Level 4)"/>
    <w:basedOn w:val="Normal"/>
    <w:rsid w:val="00EB45CB"/>
    <w:pPr>
      <w:numPr>
        <w:ilvl w:val="3"/>
        <w:numId w:val="4"/>
      </w:numPr>
      <w:spacing w:after="240" w:before="0"/>
      <w:jc w:val="both"/>
    </w:pPr>
    <w:rPr>
      <w:rFonts w:ascii="Times New Roman" w:hAnsi="Times New Roman"/>
      <w:snapToGrid w:val="1"/>
      <w:sz w:val="24"/>
    </w:rPr>
  </w:style>
  <w:style w:type="character" w:styleId="AklamaMetniChar" w:customStyle="1">
    <w:name w:val="Açıklama Metni Char"/>
    <w:link w:val="AklamaMetni"/>
    <w:semiHidden w:val="1"/>
    <w:rsid w:val="00240B1F"/>
    <w:rPr>
      <w:rFonts w:ascii="Arial" w:hAnsi="Arial"/>
      <w:snapToGrid w:val="0"/>
      <w:lang w:eastAsia="en-US"/>
    </w:rPr>
  </w:style>
  <w:style w:type="paragraph" w:styleId="Dzeltme">
    <w:name w:val="Revision"/>
    <w:hidden w:val="1"/>
    <w:uiPriority w:val="99"/>
    <w:semiHidden w:val="1"/>
    <w:rsid w:val="00AB3A36"/>
    <w:rPr>
      <w:snapToGrid w:val="0"/>
      <w:lang w:eastAsia="en-US"/>
    </w:rPr>
  </w:style>
  <w:style w:type="paragraph" w:styleId="Default" w:customStyle="1">
    <w:name w:val="Default"/>
    <w:rsid w:val="00E76535"/>
    <w:pPr>
      <w:autoSpaceDE w:val="0"/>
      <w:autoSpaceDN w:val="0"/>
      <w:adjustRightInd w:val="0"/>
    </w:pPr>
    <w:rPr>
      <w:color w:val="000000"/>
      <w:sz w:val="24"/>
      <w:szCs w:val="24"/>
    </w:rPr>
  </w:style>
  <w:style w:type="paragraph" w:styleId="ListeParagraf">
    <w:name w:val="List Paragraph"/>
    <w:basedOn w:val="Normal"/>
    <w:uiPriority w:val="34"/>
    <w:qFormat w:val="1"/>
    <w:rsid w:val="00583FF3"/>
    <w:pPr>
      <w:spacing w:after="0" w:before="0"/>
      <w:ind w:left="720"/>
    </w:pPr>
    <w:rPr>
      <w:rFonts w:ascii="Calibri" w:eastAsia="Calibri" w:hAnsi="Calibri"/>
      <w:snapToGrid w:val="1"/>
      <w:sz w:val="22"/>
      <w:szCs w:val="22"/>
    </w:rPr>
  </w:style>
  <w:style w:type="paragraph" w:styleId="Text1" w:customStyle="1">
    <w:name w:val="Text 1"/>
    <w:basedOn w:val="Normal"/>
    <w:rsid w:val="00F0405C"/>
    <w:pPr>
      <w:spacing w:after="240" w:before="0"/>
      <w:ind w:left="482"/>
      <w:jc w:val="both"/>
    </w:pPr>
    <w:rPr>
      <w:rFonts w:ascii="Times New Roman" w:eastAsia="Calibri" w:hAnsi="Times New Roman"/>
      <w:snapToGrid w:val="1"/>
      <w:sz w:val="24"/>
      <w:szCs w:val="24"/>
    </w:rPr>
  </w:style>
  <w:style w:type="paragraph" w:styleId="Subtitle">
    <w:name w:val="Subtitle"/>
    <w:basedOn w:val="Normal"/>
    <w:next w:val="Normal"/>
    <w:pPr>
      <w:jc w:val="center"/>
    </w:pPr>
    <w:rPr>
      <w:b w:val="1"/>
      <w:sz w:val="28"/>
      <w:szCs w:val="2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yperlink" Target="https://www.resmigazete.gov.tr/eskiler/2022/09/20220921-1.htm"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betul@redi-ngo.e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Xb+liR4Sq9cIDAT8MuvwBOJ1mg==">CgMxLjAyCGguZ2pkZ3hzMgloLjFmb2I5dGUyCWguM3pueXNoNzIJaC4yZXQ5MnAwMghoLnR5amN3dDIOaC5ybWl2MG1sNTJ1dmgyDmguejN0YnZlcGk5YmlmMgloLjNkeTZ2a20yCWguMXQzaDVzZjIJaC40ZDM0b2c4Mg5oLm8wdjRlMTF0Z2diczIJaC4zMGowemxsMg5oLjRmMzhvdTNyZG51YjIJaC4yczhleW8xMgloLjNyZGNyam4yCWguMjZpbjFyZzIIaC5sbnhiejkyCWguMzVua3VuMjIJaC4xa3N2NHV2MgloLjQ0c2luaW8yCWguMmp4c3hxaDIJaC4xeTgxMHR3MgloLjRpN29qaHA4AHIhMWZ2YU83azNHY1JuRjhxT2IwNkVXcFR6U0dtYmRmN2R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2025-06-26T10:58:00Z</dcterms:created>
  <dc:creator>ENGSTROM</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duboile</vt:lpwstr>
  </property>
</Properties>
</file>