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00001"/>
    <w:p w14:paraId="00000002">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Times New Roman" w:hAnsi="Times New Roman" w:eastAsia="Times New Roman" w:cs="Times New Roman"/>
          <w:b/>
          <w:i w:val="0"/>
          <w:smallCaps w:val="0"/>
          <w:strike w:val="0"/>
          <w:color w:val="000000"/>
          <w:sz w:val="28"/>
          <w:szCs w:val="28"/>
          <w:u w:val="none"/>
          <w:shd w:val="clear" w:fill="auto"/>
          <w:vertAlign w:val="baseline"/>
        </w:rPr>
      </w:pPr>
      <w:r>
        <w:rPr>
          <w:rFonts w:ascii="Times New Roman" w:hAnsi="Times New Roman" w:eastAsia="Times New Roman" w:cs="Times New Roman"/>
          <w:b/>
          <w:i w:val="0"/>
          <w:smallCaps w:val="0"/>
          <w:strike w:val="0"/>
          <w:color w:val="000000"/>
          <w:sz w:val="28"/>
          <w:szCs w:val="28"/>
          <w:u w:val="none"/>
          <w:shd w:val="clear" w:fill="auto"/>
          <w:vertAlign w:val="baseline"/>
          <w:rtl w:val="0"/>
        </w:rPr>
        <w:t xml:space="preserve">EVALUATION REPORT </w:t>
      </w:r>
    </w:p>
    <w:p w14:paraId="00000003">
      <w:pPr>
        <w:spacing w:before="240" w:after="240"/>
        <w:jc w:val="center"/>
        <w:rPr>
          <w:b/>
          <w:sz w:val="28"/>
          <w:szCs w:val="28"/>
        </w:rPr>
      </w:pPr>
      <w:r>
        <w:rPr>
          <w:b/>
          <w:sz w:val="28"/>
          <w:szCs w:val="28"/>
          <w:rtl w:val="0"/>
        </w:rPr>
        <w:t xml:space="preserve">PUBLICATION REF.: </w:t>
      </w:r>
      <w:r>
        <w:rPr>
          <w:sz w:val="28"/>
          <w:szCs w:val="28"/>
          <w:rtl w:val="0"/>
        </w:rPr>
        <w:t>IPA III/2024/457-197/TK-002</w:t>
      </w:r>
    </w:p>
    <w:p w14:paraId="00000004">
      <w:pPr>
        <w:tabs>
          <w:tab w:val="left" w:pos="3119"/>
        </w:tabs>
        <w:ind w:left="2835" w:hanging="1701"/>
        <w:rPr>
          <w:sz w:val="22"/>
          <w:szCs w:val="22"/>
        </w:rPr>
      </w:pPr>
      <w:r>
        <w:rPr>
          <w:b/>
          <w:sz w:val="28"/>
          <w:szCs w:val="28"/>
          <w:rtl w:val="0"/>
        </w:rPr>
        <w:t>Contents:</w:t>
      </w:r>
      <w:r>
        <w:rPr>
          <w:sz w:val="22"/>
          <w:szCs w:val="22"/>
          <w:rtl w:val="0"/>
        </w:rPr>
        <w:tab/>
      </w:r>
      <w:r>
        <w:rPr>
          <w:sz w:val="22"/>
          <w:szCs w:val="22"/>
          <w:rtl w:val="0"/>
        </w:rPr>
        <w:t>Timetable</w:t>
      </w:r>
    </w:p>
    <w:p w14:paraId="00000005">
      <w:pPr>
        <w:tabs>
          <w:tab w:val="left" w:pos="3119"/>
        </w:tabs>
        <w:ind w:left="2835" w:hanging="1701"/>
        <w:rPr>
          <w:sz w:val="22"/>
          <w:szCs w:val="22"/>
        </w:rPr>
      </w:pPr>
      <w:r>
        <w:rPr>
          <w:b/>
          <w:sz w:val="28"/>
          <w:szCs w:val="28"/>
          <w:rtl w:val="0"/>
        </w:rPr>
        <w:tab/>
      </w:r>
      <w:r>
        <w:rPr>
          <w:sz w:val="22"/>
          <w:szCs w:val="22"/>
          <w:rtl w:val="0"/>
        </w:rPr>
        <w:t>Observers</w:t>
      </w:r>
    </w:p>
    <w:p w14:paraId="00000006">
      <w:pPr>
        <w:tabs>
          <w:tab w:val="left" w:pos="3119"/>
        </w:tabs>
        <w:ind w:left="2835" w:hanging="1701"/>
        <w:rPr>
          <w:sz w:val="22"/>
          <w:szCs w:val="22"/>
        </w:rPr>
      </w:pPr>
      <w:r>
        <w:rPr>
          <w:sz w:val="22"/>
          <w:szCs w:val="22"/>
          <w:rtl w:val="0"/>
        </w:rPr>
        <w:tab/>
      </w:r>
      <w:r>
        <w:rPr>
          <w:sz w:val="22"/>
          <w:szCs w:val="22"/>
          <w:rtl w:val="0"/>
        </w:rPr>
        <w:t>Evaluation</w:t>
      </w:r>
    </w:p>
    <w:p w14:paraId="00000007">
      <w:pPr>
        <w:tabs>
          <w:tab w:val="left" w:pos="3119"/>
        </w:tabs>
        <w:ind w:left="2835" w:hanging="1701"/>
        <w:rPr>
          <w:sz w:val="22"/>
          <w:szCs w:val="22"/>
        </w:rPr>
      </w:pPr>
      <w:r>
        <w:rPr>
          <w:sz w:val="22"/>
          <w:szCs w:val="22"/>
          <w:rtl w:val="0"/>
        </w:rPr>
        <w:tab/>
      </w:r>
      <w:r>
        <w:rPr>
          <w:sz w:val="22"/>
          <w:szCs w:val="22"/>
          <w:rtl w:val="0"/>
        </w:rPr>
        <w:t>Preparatory session</w:t>
      </w:r>
    </w:p>
    <w:p w14:paraId="00000008">
      <w:pPr>
        <w:tabs>
          <w:tab w:val="left" w:pos="3119"/>
        </w:tabs>
        <w:ind w:left="2835" w:hanging="1701"/>
        <w:rPr>
          <w:sz w:val="22"/>
          <w:szCs w:val="22"/>
        </w:rPr>
      </w:pPr>
      <w:r>
        <w:rPr>
          <w:sz w:val="22"/>
          <w:szCs w:val="22"/>
          <w:rtl w:val="0"/>
        </w:rPr>
        <w:tab/>
      </w:r>
      <w:r>
        <w:rPr>
          <w:sz w:val="22"/>
          <w:szCs w:val="22"/>
          <w:rtl w:val="0"/>
        </w:rPr>
        <w:t>Tender opening session</w:t>
      </w:r>
    </w:p>
    <w:p w14:paraId="00000009">
      <w:pPr>
        <w:tabs>
          <w:tab w:val="left" w:pos="3119"/>
        </w:tabs>
        <w:ind w:left="2835" w:hanging="1701"/>
        <w:rPr>
          <w:sz w:val="22"/>
          <w:szCs w:val="22"/>
        </w:rPr>
      </w:pPr>
      <w:r>
        <w:rPr>
          <w:sz w:val="22"/>
          <w:szCs w:val="22"/>
          <w:rtl w:val="0"/>
        </w:rPr>
        <w:tab/>
      </w:r>
      <w:r>
        <w:rPr>
          <w:sz w:val="22"/>
          <w:szCs w:val="22"/>
          <w:rtl w:val="0"/>
        </w:rPr>
        <w:t>Administrative compliance</w:t>
      </w:r>
    </w:p>
    <w:p w14:paraId="0000000A">
      <w:pPr>
        <w:tabs>
          <w:tab w:val="left" w:pos="3119"/>
        </w:tabs>
        <w:ind w:left="2835" w:hanging="1701"/>
        <w:rPr>
          <w:sz w:val="22"/>
          <w:szCs w:val="22"/>
        </w:rPr>
      </w:pPr>
      <w:r>
        <w:rPr>
          <w:sz w:val="22"/>
          <w:szCs w:val="22"/>
          <w:rtl w:val="0"/>
        </w:rPr>
        <w:tab/>
      </w:r>
      <w:r>
        <w:rPr>
          <w:sz w:val="22"/>
          <w:szCs w:val="22"/>
          <w:rtl w:val="0"/>
        </w:rPr>
        <w:t>Technical compliance</w:t>
      </w:r>
    </w:p>
    <w:p w14:paraId="0000000B">
      <w:pPr>
        <w:tabs>
          <w:tab w:val="left" w:pos="3119"/>
        </w:tabs>
        <w:ind w:left="2835" w:hanging="1701"/>
        <w:rPr>
          <w:sz w:val="22"/>
          <w:szCs w:val="22"/>
        </w:rPr>
      </w:pPr>
      <w:r>
        <w:rPr>
          <w:sz w:val="22"/>
          <w:szCs w:val="22"/>
          <w:rtl w:val="0"/>
        </w:rPr>
        <w:tab/>
      </w:r>
      <w:r>
        <w:rPr>
          <w:sz w:val="22"/>
          <w:szCs w:val="22"/>
          <w:rtl w:val="0"/>
        </w:rPr>
        <w:t>Financial evaluation</w:t>
      </w:r>
    </w:p>
    <w:p w14:paraId="0000000C">
      <w:pPr>
        <w:tabs>
          <w:tab w:val="left" w:pos="3119"/>
        </w:tabs>
        <w:ind w:left="2835" w:hanging="1701"/>
        <w:rPr>
          <w:sz w:val="22"/>
          <w:szCs w:val="22"/>
        </w:rPr>
      </w:pPr>
      <w:r>
        <w:rPr>
          <w:sz w:val="22"/>
          <w:szCs w:val="22"/>
          <w:rtl w:val="0"/>
        </w:rPr>
        <w:tab/>
      </w:r>
      <w:r>
        <w:rPr>
          <w:sz w:val="22"/>
          <w:szCs w:val="22"/>
          <w:rtl w:val="0"/>
        </w:rPr>
        <w:t>Conclusion</w:t>
      </w:r>
    </w:p>
    <w:p w14:paraId="0000000D">
      <w:pPr>
        <w:tabs>
          <w:tab w:val="left" w:pos="3119"/>
        </w:tabs>
        <w:ind w:left="2835" w:hanging="1701"/>
        <w:rPr>
          <w:sz w:val="22"/>
          <w:szCs w:val="22"/>
        </w:rPr>
      </w:pPr>
      <w:r>
        <w:rPr>
          <w:sz w:val="22"/>
          <w:szCs w:val="22"/>
          <w:rtl w:val="0"/>
        </w:rPr>
        <w:tab/>
      </w:r>
      <w:r>
        <w:rPr>
          <w:sz w:val="22"/>
          <w:szCs w:val="22"/>
          <w:rtl w:val="0"/>
        </w:rPr>
        <w:t>Signatures</w:t>
      </w:r>
    </w:p>
    <w:p w14:paraId="0000000E">
      <w:pPr>
        <w:spacing w:before="240"/>
        <w:ind w:left="2835" w:hanging="1701"/>
        <w:rPr>
          <w:sz w:val="22"/>
          <w:szCs w:val="22"/>
        </w:rPr>
      </w:pPr>
      <w:r>
        <w:rPr>
          <w:b/>
          <w:sz w:val="28"/>
          <w:szCs w:val="28"/>
          <w:rtl w:val="0"/>
        </w:rPr>
        <w:t>Annexes:</w:t>
      </w:r>
      <w:r>
        <w:rPr>
          <w:sz w:val="22"/>
          <w:szCs w:val="22"/>
          <w:rtl w:val="0"/>
        </w:rPr>
        <w:tab/>
      </w:r>
    </w:p>
    <w:p w14:paraId="0000000F">
      <w:pPr>
        <w:ind w:left="2268" w:firstLine="0"/>
        <w:rPr>
          <w:sz w:val="22"/>
          <w:szCs w:val="22"/>
        </w:rPr>
      </w:pPr>
      <w:r>
        <w:rPr>
          <w:sz w:val="22"/>
          <w:szCs w:val="22"/>
          <w:rtl w:val="0"/>
        </w:rPr>
        <w:t>Tender opening record and its annexes</w:t>
      </w:r>
      <w:r>
        <w:rPr>
          <w:sz w:val="22"/>
          <w:szCs w:val="22"/>
          <w:rtl w:val="0"/>
        </w:rPr>
        <w:br w:type="textWrapping"/>
      </w:r>
      <w:r>
        <w:rPr>
          <w:sz w:val="22"/>
          <w:szCs w:val="22"/>
          <w:rtl w:val="0"/>
        </w:rPr>
        <w:t>Administrative compliance grid</w:t>
      </w:r>
    </w:p>
    <w:p w14:paraId="00000010">
      <w:pPr>
        <w:ind w:left="2268" w:firstLine="0"/>
        <w:rPr>
          <w:sz w:val="22"/>
          <w:szCs w:val="22"/>
        </w:rPr>
      </w:pPr>
      <w:r>
        <w:rPr>
          <w:sz w:val="22"/>
          <w:szCs w:val="22"/>
          <w:rtl w:val="0"/>
        </w:rPr>
        <w:t>[</w:t>
      </w:r>
      <w:r>
        <w:rPr>
          <w:sz w:val="22"/>
          <w:szCs w:val="22"/>
          <w:highlight w:val="lightGray"/>
          <w:rtl w:val="0"/>
        </w:rPr>
        <w:t>Correspondence regarding Declaration on Honour and supporting documents on exclusion and selection criteria from tenderers</w:t>
      </w:r>
      <w:r>
        <w:rPr>
          <w:sz w:val="22"/>
          <w:szCs w:val="22"/>
          <w:rtl w:val="0"/>
        </w:rPr>
        <w:t>]</w:t>
      </w:r>
      <w:r>
        <w:rPr>
          <w:sz w:val="22"/>
          <w:szCs w:val="22"/>
          <w:rtl w:val="0"/>
        </w:rPr>
        <w:br w:type="textWrapping"/>
      </w:r>
      <w:r>
        <w:rPr>
          <w:sz w:val="22"/>
          <w:szCs w:val="22"/>
          <w:rtl w:val="0"/>
        </w:rPr>
        <w:t>Technical evaluation grids completed by the individual evaluators [</w:t>
      </w:r>
      <w:r>
        <w:rPr>
          <w:sz w:val="22"/>
          <w:szCs w:val="22"/>
          <w:highlight w:val="lightGray"/>
          <w:rtl w:val="0"/>
        </w:rPr>
        <w:t>incl. Annex III Technical offer</w:t>
      </w:r>
      <w:r>
        <w:rPr>
          <w:sz w:val="22"/>
          <w:szCs w:val="22"/>
          <w:rtl w:val="0"/>
        </w:rPr>
        <w:t>]</w:t>
      </w:r>
      <w:r>
        <w:rPr>
          <w:sz w:val="22"/>
          <w:szCs w:val="22"/>
          <w:rtl w:val="0"/>
        </w:rPr>
        <w:br w:type="textWrapping"/>
      </w:r>
      <w:r>
        <w:rPr>
          <w:sz w:val="22"/>
          <w:szCs w:val="22"/>
          <w:rtl w:val="0"/>
        </w:rPr>
        <w:t>Attendance records</w:t>
      </w:r>
      <w:r>
        <w:rPr>
          <w:sz w:val="22"/>
          <w:szCs w:val="22"/>
          <w:rtl w:val="0"/>
        </w:rPr>
        <w:br w:type="textWrapping"/>
      </w:r>
      <w:r>
        <w:rPr>
          <w:sz w:val="22"/>
          <w:szCs w:val="22"/>
          <w:rtl w:val="0"/>
        </w:rPr>
        <w:t>[</w:t>
      </w:r>
      <w:r>
        <w:rPr>
          <w:sz w:val="22"/>
          <w:szCs w:val="22"/>
          <w:highlight w:val="lightGray"/>
          <w:rtl w:val="0"/>
        </w:rPr>
        <w:t>Clarification correspondence with tenderers</w:t>
      </w:r>
      <w:r>
        <w:rPr>
          <w:sz w:val="22"/>
          <w:szCs w:val="22"/>
          <w:rtl w:val="0"/>
        </w:rPr>
        <w:t>]</w:t>
      </w:r>
    </w:p>
    <w:p w14:paraId="00000011">
      <w:pPr>
        <w:keepNext/>
        <w:spacing w:before="240" w:after="120"/>
        <w:jc w:val="both"/>
        <w:rPr>
          <w:b/>
        </w:rPr>
      </w:pPr>
      <w:r>
        <w:rPr>
          <w:b/>
          <w:rtl w:val="0"/>
        </w:rPr>
        <w:t>1.</w:t>
      </w:r>
      <w:r>
        <w:rPr>
          <w:b/>
          <w:rtl w:val="0"/>
        </w:rPr>
        <w:tab/>
      </w:r>
      <w:r>
        <w:rPr>
          <w:b/>
          <w:rtl w:val="0"/>
        </w:rPr>
        <w:t>Timetable</w:t>
      </w:r>
    </w:p>
    <w:tbl>
      <w:tblPr>
        <w:tblStyle w:val="41"/>
        <w:tblW w:w="8475" w:type="dxa"/>
        <w:tblInd w:w="82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475"/>
        <w:gridCol w:w="1650"/>
        <w:gridCol w:w="2175"/>
        <w:gridCol w:w="2175"/>
      </w:tblGrid>
      <w:tr w14:paraId="7CB03E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Borders>
              <w:bottom w:val="nil"/>
            </w:tcBorders>
          </w:tcPr>
          <w:p w14:paraId="00000012">
            <w:pPr>
              <w:rPr>
                <w:sz w:val="22"/>
                <w:szCs w:val="22"/>
              </w:rPr>
            </w:pPr>
          </w:p>
        </w:tc>
        <w:tc>
          <w:tcPr>
            <w:shd w:val="clear" w:color="auto" w:fill="E6E6E6"/>
          </w:tcPr>
          <w:p w14:paraId="00000013">
            <w:pPr>
              <w:jc w:val="center"/>
              <w:rPr>
                <w:b/>
                <w:sz w:val="22"/>
                <w:szCs w:val="22"/>
              </w:rPr>
            </w:pPr>
            <w:r>
              <w:rPr>
                <w:b/>
                <w:sz w:val="22"/>
                <w:szCs w:val="22"/>
                <w:rtl w:val="0"/>
              </w:rPr>
              <w:t>DATE</w:t>
            </w:r>
          </w:p>
        </w:tc>
        <w:tc>
          <w:tcPr>
            <w:shd w:val="clear" w:color="auto" w:fill="E6E6E6"/>
          </w:tcPr>
          <w:p w14:paraId="00000014">
            <w:pPr>
              <w:jc w:val="center"/>
              <w:rPr>
                <w:b/>
                <w:sz w:val="22"/>
                <w:szCs w:val="22"/>
              </w:rPr>
            </w:pPr>
            <w:r>
              <w:rPr>
                <w:b/>
                <w:sz w:val="22"/>
                <w:szCs w:val="22"/>
                <w:rtl w:val="0"/>
              </w:rPr>
              <w:t>TIME</w:t>
            </w:r>
          </w:p>
        </w:tc>
        <w:tc>
          <w:tcPr>
            <w:tcBorders>
              <w:bottom w:val="nil"/>
            </w:tcBorders>
            <w:shd w:val="clear" w:color="auto" w:fill="E6E6E6"/>
          </w:tcPr>
          <w:p w14:paraId="00000015">
            <w:pPr>
              <w:jc w:val="center"/>
              <w:rPr>
                <w:b/>
                <w:sz w:val="22"/>
                <w:szCs w:val="22"/>
              </w:rPr>
            </w:pPr>
            <w:r>
              <w:rPr>
                <w:b/>
                <w:sz w:val="22"/>
                <w:szCs w:val="22"/>
                <w:rtl w:val="0"/>
              </w:rPr>
              <w:t>VENUE</w:t>
            </w:r>
          </w:p>
        </w:tc>
      </w:tr>
      <w:tr w14:paraId="6B33AF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shd w:val="clear" w:color="auto" w:fill="E6E6E6"/>
          </w:tcPr>
          <w:p w14:paraId="00000016">
            <w:pPr>
              <w:spacing w:before="120" w:after="120"/>
              <w:rPr>
                <w:b/>
                <w:sz w:val="22"/>
                <w:szCs w:val="22"/>
              </w:rPr>
            </w:pPr>
            <w:r>
              <w:rPr>
                <w:b/>
                <w:sz w:val="22"/>
                <w:szCs w:val="22"/>
                <w:rtl w:val="0"/>
              </w:rPr>
              <w:t>Preparatory session</w:t>
            </w:r>
          </w:p>
        </w:tc>
        <w:tc>
          <w:p w14:paraId="00000017">
            <w:pPr>
              <w:spacing w:before="120" w:after="120"/>
              <w:jc w:val="center"/>
              <w:rPr>
                <w:rFonts w:hint="default"/>
                <w:sz w:val="22"/>
                <w:szCs w:val="22"/>
                <w:lang w:val="tr-TR"/>
              </w:rPr>
            </w:pPr>
            <w:r>
              <w:rPr>
                <w:rFonts w:hint="default"/>
                <w:sz w:val="22"/>
                <w:szCs w:val="22"/>
                <w:lang w:val="tr-TR"/>
              </w:rPr>
              <w:t>N/A</w:t>
            </w:r>
          </w:p>
        </w:tc>
        <w:tc>
          <w:tcPr>
            <w:shd w:val="clear"/>
            <w:vAlign w:val="top"/>
          </w:tcPr>
          <w:p w14:paraId="00000018">
            <w:pPr>
              <w:spacing w:before="120" w:after="120"/>
              <w:jc w:val="center"/>
              <w:rPr>
                <w:rFonts w:hint="default"/>
                <w:snapToGrid w:val="0"/>
                <w:sz w:val="22"/>
                <w:szCs w:val="22"/>
                <w:lang w:val="tr-TR" w:eastAsia="en-US"/>
              </w:rPr>
            </w:pPr>
            <w:r>
              <w:rPr>
                <w:rFonts w:hint="default"/>
                <w:sz w:val="22"/>
                <w:szCs w:val="22"/>
                <w:lang w:val="tr-TR"/>
              </w:rPr>
              <w:t>N/A</w:t>
            </w:r>
          </w:p>
        </w:tc>
        <w:tc>
          <w:tcPr>
            <w:shd w:val="clear"/>
            <w:vAlign w:val="top"/>
          </w:tcPr>
          <w:p w14:paraId="00000019">
            <w:pPr>
              <w:spacing w:before="120" w:after="120"/>
              <w:jc w:val="center"/>
              <w:rPr>
                <w:rFonts w:hint="default"/>
                <w:snapToGrid w:val="0"/>
                <w:sz w:val="22"/>
                <w:szCs w:val="22"/>
                <w:lang w:val="tr-TR" w:eastAsia="en-US"/>
              </w:rPr>
            </w:pPr>
            <w:r>
              <w:rPr>
                <w:rFonts w:hint="default"/>
                <w:sz w:val="22"/>
                <w:szCs w:val="22"/>
                <w:lang w:val="tr-TR"/>
              </w:rPr>
              <w:t>N/A</w:t>
            </w:r>
          </w:p>
        </w:tc>
      </w:tr>
      <w:tr w14:paraId="0E94B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23" w:hRule="atLeast"/>
        </w:trPr>
        <w:tc>
          <w:tcPr>
            <w:shd w:val="clear" w:color="auto" w:fill="E6E6E6"/>
          </w:tcPr>
          <w:p w14:paraId="0000001A">
            <w:pPr>
              <w:spacing w:before="120" w:after="120"/>
              <w:rPr>
                <w:b/>
                <w:sz w:val="22"/>
                <w:szCs w:val="22"/>
              </w:rPr>
            </w:pPr>
            <w:r>
              <w:rPr>
                <w:b/>
                <w:sz w:val="22"/>
                <w:szCs w:val="22"/>
                <w:rtl w:val="0"/>
              </w:rPr>
              <w:t>Deadline for the submission of tenders</w:t>
            </w:r>
          </w:p>
        </w:tc>
        <w:tc>
          <w:p w14:paraId="0000001B">
            <w:pPr>
              <w:spacing w:before="120" w:after="120"/>
              <w:jc w:val="center"/>
              <w:rPr>
                <w:sz w:val="22"/>
                <w:szCs w:val="22"/>
              </w:rPr>
            </w:pPr>
            <w:r>
              <w:rPr>
                <w:sz w:val="22"/>
                <w:szCs w:val="22"/>
                <w:rtl w:val="0"/>
              </w:rPr>
              <w:t>11.07.2025</w:t>
            </w:r>
          </w:p>
        </w:tc>
        <w:tc>
          <w:p w14:paraId="0000001C">
            <w:pPr>
              <w:spacing w:before="120" w:after="120"/>
              <w:jc w:val="both"/>
              <w:rPr>
                <w:sz w:val="22"/>
                <w:szCs w:val="22"/>
              </w:rPr>
            </w:pPr>
            <w:r>
              <w:rPr>
                <w:sz w:val="22"/>
                <w:szCs w:val="22"/>
                <w:rtl w:val="0"/>
              </w:rPr>
              <w:t>17.30 (Turkey time)</w:t>
            </w:r>
          </w:p>
        </w:tc>
        <w:tc>
          <w:tcPr>
            <w:shd w:val="clear"/>
            <w:vAlign w:val="top"/>
          </w:tcPr>
          <w:p w14:paraId="0000001D">
            <w:pPr>
              <w:spacing w:before="120" w:after="120"/>
              <w:jc w:val="center"/>
              <w:rPr>
                <w:rFonts w:hint="default"/>
                <w:snapToGrid w:val="0"/>
                <w:sz w:val="22"/>
                <w:szCs w:val="22"/>
                <w:lang w:val="tr-TR" w:eastAsia="en-US"/>
              </w:rPr>
            </w:pPr>
            <w:r>
              <w:rPr>
                <w:rFonts w:hint="default"/>
                <w:sz w:val="22"/>
                <w:szCs w:val="22"/>
                <w:lang w:val="tr-TR"/>
              </w:rPr>
              <w:t>N/A</w:t>
            </w:r>
          </w:p>
        </w:tc>
      </w:tr>
      <w:tr w14:paraId="7459F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shd w:val="clear" w:color="auto" w:fill="E6E6E6"/>
          </w:tcPr>
          <w:p w14:paraId="0000001E">
            <w:pPr>
              <w:spacing w:before="120" w:after="120"/>
              <w:rPr>
                <w:b/>
                <w:sz w:val="22"/>
                <w:szCs w:val="22"/>
              </w:rPr>
            </w:pPr>
            <w:r>
              <w:rPr>
                <w:b/>
                <w:sz w:val="22"/>
                <w:szCs w:val="22"/>
                <w:rtl w:val="0"/>
              </w:rPr>
              <w:t>Tender opening session</w:t>
            </w:r>
          </w:p>
        </w:tc>
        <w:tc>
          <w:p w14:paraId="0000001F">
            <w:pPr>
              <w:spacing w:before="120" w:after="120"/>
              <w:jc w:val="center"/>
              <w:rPr>
                <w:rFonts w:hint="default"/>
                <w:sz w:val="22"/>
                <w:szCs w:val="22"/>
                <w:lang w:val="tr-TR"/>
              </w:rPr>
            </w:pPr>
            <w:r>
              <w:rPr>
                <w:rFonts w:hint="default"/>
                <w:sz w:val="22"/>
                <w:szCs w:val="22"/>
                <w:lang w:val="tr-TR"/>
              </w:rPr>
              <w:t>16.07.2025</w:t>
            </w:r>
          </w:p>
        </w:tc>
        <w:tc>
          <w:p w14:paraId="00000020">
            <w:pPr>
              <w:spacing w:before="120" w:after="120"/>
              <w:jc w:val="both"/>
              <w:rPr>
                <w:sz w:val="22"/>
                <w:szCs w:val="22"/>
              </w:rPr>
            </w:pPr>
            <w:r>
              <w:rPr>
                <w:sz w:val="22"/>
                <w:szCs w:val="22"/>
                <w:rtl w:val="0"/>
              </w:rPr>
              <w:t>17.30 (Turkey time)</w:t>
            </w:r>
          </w:p>
        </w:tc>
        <w:tc>
          <w:tcPr>
            <w:shd w:val="clear"/>
            <w:vAlign w:val="top"/>
          </w:tcPr>
          <w:p w14:paraId="00000021">
            <w:pPr>
              <w:spacing w:before="120" w:after="120"/>
              <w:jc w:val="center"/>
              <w:rPr>
                <w:rFonts w:hint="default"/>
                <w:snapToGrid w:val="0"/>
                <w:sz w:val="22"/>
                <w:szCs w:val="22"/>
                <w:lang w:val="tr-TR" w:eastAsia="en-US"/>
              </w:rPr>
            </w:pPr>
            <w:r>
              <w:rPr>
                <w:rFonts w:hint="default"/>
                <w:sz w:val="22"/>
                <w:szCs w:val="22"/>
                <w:lang w:val="tr-TR"/>
              </w:rPr>
              <w:t>N/A</w:t>
            </w:r>
          </w:p>
        </w:tc>
      </w:tr>
      <w:tr w14:paraId="09EF2A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shd w:val="clear" w:color="auto" w:fill="E6E6E6"/>
          </w:tcPr>
          <w:p w14:paraId="00000022">
            <w:pPr>
              <w:spacing w:before="120" w:after="120"/>
              <w:rPr>
                <w:b/>
                <w:sz w:val="22"/>
                <w:szCs w:val="22"/>
              </w:rPr>
            </w:pPr>
            <w:r>
              <w:rPr>
                <w:b/>
                <w:sz w:val="22"/>
                <w:szCs w:val="22"/>
                <w:rtl w:val="0"/>
              </w:rPr>
              <w:t>&lt; Meeting 1 &gt;</w:t>
            </w:r>
          </w:p>
        </w:tc>
        <w:tc>
          <w:p w14:paraId="00000023">
            <w:pPr>
              <w:spacing w:before="120" w:after="120"/>
              <w:jc w:val="center"/>
              <w:rPr>
                <w:sz w:val="22"/>
                <w:szCs w:val="22"/>
              </w:rPr>
            </w:pPr>
            <w:r>
              <w:rPr>
                <w:rFonts w:hint="default"/>
                <w:sz w:val="22"/>
                <w:szCs w:val="22"/>
                <w:lang w:val="tr-TR"/>
              </w:rPr>
              <w:t>N/A</w:t>
            </w:r>
          </w:p>
        </w:tc>
        <w:tc>
          <w:p w14:paraId="00000024">
            <w:pPr>
              <w:spacing w:before="120" w:after="120"/>
              <w:jc w:val="center"/>
              <w:rPr>
                <w:sz w:val="22"/>
                <w:szCs w:val="22"/>
              </w:rPr>
            </w:pPr>
            <w:r>
              <w:rPr>
                <w:rFonts w:hint="default"/>
                <w:sz w:val="22"/>
                <w:szCs w:val="22"/>
                <w:lang w:val="tr-TR"/>
              </w:rPr>
              <w:t>N/A</w:t>
            </w:r>
          </w:p>
        </w:tc>
        <w:tc>
          <w:tcPr>
            <w:shd w:val="clear"/>
            <w:vAlign w:val="top"/>
          </w:tcPr>
          <w:p w14:paraId="00000025">
            <w:pPr>
              <w:spacing w:before="120" w:after="120"/>
              <w:jc w:val="center"/>
              <w:rPr>
                <w:rFonts w:hint="default"/>
                <w:snapToGrid w:val="0"/>
                <w:sz w:val="22"/>
                <w:szCs w:val="22"/>
                <w:lang w:val="tr-TR" w:eastAsia="en-US"/>
              </w:rPr>
            </w:pPr>
            <w:r>
              <w:rPr>
                <w:rFonts w:hint="default"/>
                <w:sz w:val="22"/>
                <w:szCs w:val="22"/>
                <w:lang w:val="tr-TR"/>
              </w:rPr>
              <w:t>N/A</w:t>
            </w:r>
          </w:p>
        </w:tc>
      </w:tr>
      <w:tr w14:paraId="666ABE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shd w:val="clear" w:color="auto" w:fill="E6E6E6"/>
          </w:tcPr>
          <w:p w14:paraId="00000026">
            <w:pPr>
              <w:spacing w:before="120" w:after="120"/>
              <w:rPr>
                <w:b/>
                <w:sz w:val="22"/>
                <w:szCs w:val="22"/>
              </w:rPr>
            </w:pPr>
            <w:r>
              <w:rPr>
                <w:b/>
                <w:sz w:val="22"/>
                <w:szCs w:val="22"/>
                <w:rtl w:val="0"/>
              </w:rPr>
              <w:t>&lt; Meeting 2 &gt;</w:t>
            </w:r>
          </w:p>
        </w:tc>
        <w:tc>
          <w:p w14:paraId="00000027">
            <w:pPr>
              <w:spacing w:before="120" w:after="120"/>
              <w:jc w:val="center"/>
              <w:rPr>
                <w:sz w:val="22"/>
                <w:szCs w:val="22"/>
              </w:rPr>
            </w:pPr>
            <w:r>
              <w:rPr>
                <w:rFonts w:hint="default"/>
                <w:sz w:val="22"/>
                <w:szCs w:val="22"/>
                <w:lang w:val="tr-TR"/>
              </w:rPr>
              <w:t>N/A</w:t>
            </w:r>
          </w:p>
        </w:tc>
        <w:tc>
          <w:p w14:paraId="00000028">
            <w:pPr>
              <w:spacing w:before="120" w:after="120"/>
              <w:jc w:val="center"/>
              <w:rPr>
                <w:sz w:val="22"/>
                <w:szCs w:val="22"/>
              </w:rPr>
            </w:pPr>
            <w:r>
              <w:rPr>
                <w:rFonts w:hint="default"/>
                <w:sz w:val="22"/>
                <w:szCs w:val="22"/>
                <w:lang w:val="tr-TR"/>
              </w:rPr>
              <w:t>N/A</w:t>
            </w:r>
          </w:p>
        </w:tc>
        <w:tc>
          <w:tcPr>
            <w:shd w:val="clear"/>
            <w:vAlign w:val="top"/>
          </w:tcPr>
          <w:p w14:paraId="00000029">
            <w:pPr>
              <w:spacing w:before="120" w:after="120"/>
              <w:jc w:val="center"/>
              <w:rPr>
                <w:rFonts w:hint="default"/>
                <w:snapToGrid w:val="0"/>
                <w:sz w:val="22"/>
                <w:szCs w:val="22"/>
                <w:lang w:val="tr-TR" w:eastAsia="en-US"/>
              </w:rPr>
            </w:pPr>
            <w:r>
              <w:rPr>
                <w:rFonts w:hint="default"/>
                <w:sz w:val="22"/>
                <w:szCs w:val="22"/>
                <w:lang w:val="tr-TR"/>
              </w:rPr>
              <w:t>N/A</w:t>
            </w:r>
          </w:p>
        </w:tc>
      </w:tr>
    </w:tbl>
    <w:p w14:paraId="0000002E">
      <w:pPr>
        <w:keepNext/>
        <w:spacing w:before="240" w:after="120"/>
        <w:jc w:val="both"/>
        <w:rPr>
          <w:b/>
        </w:rPr>
      </w:pPr>
      <w:r>
        <w:rPr>
          <w:b/>
          <w:rtl w:val="0"/>
        </w:rPr>
        <w:t>2.</w:t>
      </w:r>
      <w:r>
        <w:rPr>
          <w:b/>
          <w:rtl w:val="0"/>
        </w:rPr>
        <w:tab/>
      </w:r>
      <w:r>
        <w:rPr>
          <w:b/>
          <w:rtl w:val="0"/>
        </w:rPr>
        <w:t>Observers</w:t>
      </w:r>
    </w:p>
    <w:tbl>
      <w:tblPr>
        <w:tblStyle w:val="42"/>
        <w:tblW w:w="8505"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693"/>
        <w:gridCol w:w="5812"/>
      </w:tblGrid>
      <w:tr w14:paraId="15670E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tcBorders>
              <w:top w:val="nil"/>
              <w:left w:val="nil"/>
              <w:right w:val="nil"/>
            </w:tcBorders>
          </w:tcPr>
          <w:p w14:paraId="0000002F">
            <w:pPr>
              <w:spacing w:before="120" w:after="120"/>
              <w:jc w:val="center"/>
              <w:rPr>
                <w:b/>
                <w:sz w:val="22"/>
                <w:szCs w:val="22"/>
              </w:rPr>
            </w:pPr>
            <w:r>
              <w:rPr>
                <w:b/>
                <w:sz w:val="22"/>
                <w:szCs w:val="22"/>
                <w:rtl w:val="0"/>
              </w:rPr>
              <w:t>Name</w:t>
            </w:r>
          </w:p>
        </w:tc>
        <w:tc>
          <w:tcPr>
            <w:tcBorders>
              <w:top w:val="nil"/>
              <w:left w:val="nil"/>
              <w:right w:val="nil"/>
            </w:tcBorders>
          </w:tcPr>
          <w:p w14:paraId="00000030">
            <w:pPr>
              <w:spacing w:before="120" w:after="120"/>
              <w:jc w:val="center"/>
              <w:rPr>
                <w:b/>
                <w:sz w:val="22"/>
                <w:szCs w:val="22"/>
              </w:rPr>
            </w:pPr>
            <w:r>
              <w:rPr>
                <w:b/>
                <w:sz w:val="22"/>
                <w:szCs w:val="22"/>
                <w:rtl w:val="0"/>
              </w:rPr>
              <w:t>Representing</w:t>
            </w:r>
          </w:p>
        </w:tc>
      </w:tr>
      <w:tr w14:paraId="25BCAB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p w14:paraId="00000031">
            <w:pPr>
              <w:spacing w:before="120" w:after="120"/>
              <w:jc w:val="both"/>
              <w:rPr>
                <w:sz w:val="22"/>
                <w:szCs w:val="22"/>
              </w:rPr>
            </w:pPr>
            <w:r>
              <w:rPr>
                <w:rtl w:val="0"/>
              </w:rPr>
              <w:t>Kader Sevinç</w:t>
            </w:r>
          </w:p>
        </w:tc>
        <w:tc>
          <w:p w14:paraId="00000032">
            <w:pPr>
              <w:spacing w:before="120" w:after="120"/>
              <w:jc w:val="both"/>
              <w:rPr>
                <w:sz w:val="22"/>
                <w:szCs w:val="22"/>
              </w:rPr>
            </w:pPr>
            <w:r>
              <w:rPr>
                <w:rtl w:val="0"/>
              </w:rPr>
              <w:t>Redi Turkiye</w:t>
            </w:r>
          </w:p>
        </w:tc>
      </w:tr>
      <w:tr w14:paraId="4C7051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p w14:paraId="00000033">
            <w:pPr>
              <w:spacing w:before="120" w:after="120"/>
              <w:jc w:val="both"/>
              <w:rPr>
                <w:sz w:val="22"/>
                <w:szCs w:val="22"/>
              </w:rPr>
            </w:pPr>
            <w:r>
              <w:rPr>
                <w:rtl w:val="0"/>
              </w:rPr>
              <w:t>Emin Karameşe</w:t>
            </w:r>
          </w:p>
        </w:tc>
        <w:tc>
          <w:p w14:paraId="00000034">
            <w:pPr>
              <w:spacing w:before="120" w:after="120"/>
              <w:jc w:val="both"/>
              <w:rPr>
                <w:sz w:val="22"/>
                <w:szCs w:val="22"/>
              </w:rPr>
            </w:pPr>
            <w:r>
              <w:rPr>
                <w:rtl w:val="0"/>
              </w:rPr>
              <w:t>Redi Turkiye</w:t>
            </w:r>
          </w:p>
        </w:tc>
      </w:tr>
    </w:tbl>
    <w:p w14:paraId="00000035">
      <w:pPr>
        <w:keepNext/>
        <w:pageBreakBefore/>
        <w:spacing w:before="240" w:after="120"/>
        <w:jc w:val="both"/>
        <w:rPr>
          <w:b/>
        </w:rPr>
      </w:pPr>
      <w:r>
        <w:rPr>
          <w:b/>
          <w:rtl w:val="0"/>
        </w:rPr>
        <w:t>3.</w:t>
      </w:r>
      <w:r>
        <w:rPr>
          <w:b/>
          <w:rtl w:val="0"/>
        </w:rPr>
        <w:tab/>
      </w:r>
      <w:r>
        <w:rPr>
          <w:b/>
          <w:rtl w:val="0"/>
        </w:rPr>
        <w:t>Evaluation</w:t>
      </w:r>
    </w:p>
    <w:p w14:paraId="00000036">
      <w:pPr>
        <w:spacing w:before="120" w:after="120"/>
        <w:ind w:left="709" w:firstLine="0"/>
        <w:jc w:val="both"/>
        <w:rPr>
          <w:b/>
          <w:sz w:val="22"/>
          <w:szCs w:val="22"/>
        </w:rPr>
      </w:pPr>
      <w:r>
        <w:rPr>
          <w:b/>
          <w:sz w:val="22"/>
          <w:szCs w:val="22"/>
          <w:rtl w:val="0"/>
        </w:rPr>
        <w:t>Preparatory session</w:t>
      </w:r>
    </w:p>
    <w:p w14:paraId="00000037">
      <w:pPr>
        <w:spacing w:after="120"/>
        <w:ind w:left="709" w:firstLine="0"/>
        <w:jc w:val="both"/>
        <w:rPr>
          <w:sz w:val="22"/>
          <w:szCs w:val="22"/>
        </w:rPr>
      </w:pPr>
      <w:r>
        <w:rPr>
          <w:sz w:val="22"/>
          <w:szCs w:val="22"/>
          <w:rtl w:val="0"/>
        </w:rPr>
        <w:t>The chairperson informed the evaluation committee of the scope of the proposed contract, identified the organisations responsible for preparing the tender dossier, and summarised the essential features of the tender procedure to date, including the evaluation grid published as part of the tender dossier.</w:t>
      </w:r>
    </w:p>
    <w:p w14:paraId="00000038">
      <w:pPr>
        <w:spacing w:before="120" w:after="120"/>
        <w:ind w:left="709" w:firstLine="0"/>
        <w:jc w:val="both"/>
        <w:rPr>
          <w:b/>
          <w:sz w:val="22"/>
          <w:szCs w:val="22"/>
        </w:rPr>
      </w:pPr>
      <w:r>
        <w:rPr>
          <w:b/>
          <w:sz w:val="22"/>
          <w:szCs w:val="22"/>
          <w:rtl w:val="0"/>
        </w:rPr>
        <w:t>Tender opening session</w:t>
      </w:r>
    </w:p>
    <w:p w14:paraId="00000039">
      <w:pPr>
        <w:spacing w:after="120"/>
        <w:ind w:left="709" w:firstLine="0"/>
        <w:jc w:val="both"/>
        <w:rPr>
          <w:sz w:val="22"/>
          <w:szCs w:val="22"/>
        </w:rPr>
      </w:pPr>
      <w:r>
        <w:rPr>
          <w:sz w:val="22"/>
          <w:szCs w:val="22"/>
          <w:rtl w:val="0"/>
        </w:rPr>
        <w:t>The tender opening record is attached to this report. The evaluation committee only considered those tenders, which were found to be suitable for further evaluation following the tender opening session.</w:t>
      </w:r>
    </w:p>
    <w:p w14:paraId="0000003A">
      <w:pPr>
        <w:spacing w:before="120" w:after="120"/>
        <w:jc w:val="both"/>
        <w:rPr>
          <w:b/>
          <w:sz w:val="22"/>
          <w:szCs w:val="22"/>
        </w:rPr>
      </w:pPr>
      <w:r>
        <w:rPr>
          <w:b/>
          <w:sz w:val="22"/>
          <w:szCs w:val="22"/>
          <w:rtl w:val="0"/>
        </w:rPr>
        <w:t xml:space="preserve">3.1 </w:t>
      </w:r>
      <w:r>
        <w:rPr>
          <w:b/>
          <w:sz w:val="22"/>
          <w:szCs w:val="22"/>
          <w:rtl w:val="0"/>
        </w:rPr>
        <w:tab/>
      </w:r>
      <w:r>
        <w:rPr>
          <w:b/>
          <w:sz w:val="22"/>
          <w:szCs w:val="22"/>
          <w:rtl w:val="0"/>
        </w:rPr>
        <w:t>Administrative compliance</w:t>
      </w:r>
    </w:p>
    <w:p w14:paraId="0000003B">
      <w:pPr>
        <w:spacing w:after="120"/>
        <w:ind w:left="709" w:firstLine="0"/>
        <w:jc w:val="both"/>
        <w:rPr>
          <w:sz w:val="22"/>
          <w:szCs w:val="22"/>
        </w:rPr>
      </w:pPr>
      <w:r>
        <w:rPr>
          <w:sz w:val="22"/>
          <w:szCs w:val="22"/>
          <w:rtl w:val="0"/>
        </w:rPr>
        <w:t>The evaluation committee used the administrative compliance grid included in the tender dossier to assess the compliance of each of the tenders with the administrative requirements of the tender dossier.</w:t>
      </w:r>
    </w:p>
    <w:p w14:paraId="0000003D">
      <w:pPr>
        <w:spacing w:after="120"/>
        <w:jc w:val="both"/>
        <w:rPr>
          <w:sz w:val="22"/>
          <w:szCs w:val="22"/>
        </w:rPr>
      </w:pPr>
    </w:p>
    <w:tbl>
      <w:tblPr>
        <w:tblStyle w:val="43"/>
        <w:tblW w:w="94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418"/>
        <w:gridCol w:w="2551"/>
        <w:gridCol w:w="1418"/>
        <w:gridCol w:w="4111"/>
      </w:tblGrid>
      <w:tr w14:paraId="72EBC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shd w:val="clear" w:color="auto" w:fill="E6E6E6"/>
          </w:tcPr>
          <w:p w14:paraId="0000003E">
            <w:pPr>
              <w:spacing w:before="120" w:after="120"/>
              <w:jc w:val="center"/>
              <w:rPr>
                <w:b/>
                <w:sz w:val="22"/>
                <w:szCs w:val="22"/>
              </w:rPr>
            </w:pPr>
            <w:r>
              <w:rPr>
                <w:b/>
                <w:sz w:val="22"/>
                <w:szCs w:val="22"/>
                <w:rtl w:val="0"/>
              </w:rPr>
              <w:t>Tender number</w:t>
            </w:r>
          </w:p>
        </w:tc>
        <w:tc>
          <w:tcPr>
            <w:shd w:val="clear" w:color="auto" w:fill="E6E6E6"/>
          </w:tcPr>
          <w:p w14:paraId="0000003F">
            <w:pPr>
              <w:spacing w:before="120" w:after="120"/>
              <w:jc w:val="center"/>
              <w:rPr>
                <w:b/>
                <w:sz w:val="22"/>
                <w:szCs w:val="22"/>
              </w:rPr>
            </w:pPr>
            <w:r>
              <w:rPr>
                <w:b/>
                <w:sz w:val="22"/>
                <w:szCs w:val="22"/>
                <w:rtl w:val="0"/>
              </w:rPr>
              <w:t>Tenderer name</w:t>
            </w:r>
          </w:p>
        </w:tc>
        <w:tc>
          <w:tcPr>
            <w:shd w:val="clear" w:color="auto" w:fill="E6E6E6"/>
          </w:tcPr>
          <w:p w14:paraId="00000040">
            <w:pPr>
              <w:spacing w:before="120" w:after="120"/>
              <w:jc w:val="center"/>
              <w:rPr>
                <w:b/>
                <w:sz w:val="22"/>
                <w:szCs w:val="22"/>
              </w:rPr>
            </w:pPr>
            <w:bookmarkStart w:id="0" w:name="_heading=h.jz64e9481afd" w:colFirst="0" w:colLast="0"/>
            <w:bookmarkEnd w:id="0"/>
            <w:r>
              <w:rPr>
                <w:b/>
                <w:sz w:val="22"/>
                <w:szCs w:val="22"/>
                <w:rtl w:val="0"/>
              </w:rPr>
              <w:t>Lot number</w:t>
            </w:r>
          </w:p>
        </w:tc>
        <w:tc>
          <w:tcPr>
            <w:shd w:val="clear" w:color="auto" w:fill="E6E6E6"/>
          </w:tcPr>
          <w:p w14:paraId="00000041">
            <w:pPr>
              <w:spacing w:before="120" w:after="120"/>
              <w:jc w:val="center"/>
              <w:rPr>
                <w:b/>
                <w:sz w:val="22"/>
                <w:szCs w:val="22"/>
              </w:rPr>
            </w:pPr>
            <w:r>
              <w:rPr>
                <w:b/>
                <w:sz w:val="22"/>
                <w:szCs w:val="22"/>
                <w:rtl w:val="0"/>
              </w:rPr>
              <w:t>Summary of exchange of correspondence</w:t>
            </w:r>
          </w:p>
        </w:tc>
      </w:tr>
      <w:tr w14:paraId="6A00C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Height w:val="727" w:hRule="atLeast"/>
        </w:trPr>
        <w:tc>
          <w:p w14:paraId="41A6045E">
            <w:pPr>
              <w:spacing w:before="120" w:after="120"/>
              <w:jc w:val="both"/>
              <w:rPr>
                <w:rFonts w:hint="default"/>
                <w:b/>
                <w:sz w:val="22"/>
                <w:szCs w:val="22"/>
                <w:lang w:val="tr-TR"/>
              </w:rPr>
            </w:pPr>
            <w:r>
              <w:rPr>
                <w:rFonts w:hint="default"/>
                <w:b/>
                <w:sz w:val="22"/>
                <w:szCs w:val="22"/>
                <w:lang w:val="tr-TR"/>
              </w:rPr>
              <w:t>1</w:t>
            </w:r>
          </w:p>
        </w:tc>
        <w:tc>
          <w:p w14:paraId="7DE0900E">
            <w:pPr>
              <w:numPr>
                <w:ilvl w:val="0"/>
                <w:numId w:val="0"/>
              </w:numPr>
              <w:spacing w:before="0" w:line="240" w:lineRule="auto"/>
              <w:ind w:left="-142" w:leftChars="0" w:firstLine="110" w:firstLineChars="50"/>
            </w:pPr>
            <w:r>
              <w:rPr>
                <w:rFonts w:ascii="Times New Roman" w:hAnsi="Times New Roman" w:eastAsia="Times New Roman" w:cs="Times New Roman"/>
                <w:sz w:val="22"/>
                <w:szCs w:val="22"/>
                <w:rtl w:val="0"/>
              </w:rPr>
              <w:t>COLDWELL BANKER</w:t>
            </w:r>
          </w:p>
          <w:p w14:paraId="6A3692B2">
            <w:pPr>
              <w:spacing w:before="120" w:after="120"/>
              <w:jc w:val="both"/>
              <w:rPr>
                <w:sz w:val="22"/>
                <w:szCs w:val="22"/>
              </w:rPr>
            </w:pPr>
          </w:p>
        </w:tc>
        <w:tc>
          <w:p w14:paraId="617750DE">
            <w:pPr>
              <w:numPr>
                <w:ilvl w:val="0"/>
                <w:numId w:val="0"/>
              </w:numPr>
              <w:spacing w:before="0" w:line="240" w:lineRule="auto"/>
              <w:rPr>
                <w:rFonts w:hint="default"/>
                <w:sz w:val="22"/>
                <w:szCs w:val="22"/>
                <w:lang w:val="tr-TR"/>
              </w:rPr>
            </w:pPr>
            <w:r>
              <w:rPr>
                <w:rFonts w:hint="default"/>
                <w:sz w:val="22"/>
                <w:szCs w:val="22"/>
                <w:lang w:val="tr-TR"/>
              </w:rPr>
              <w:t>N/A</w:t>
            </w:r>
          </w:p>
        </w:tc>
        <w:tc>
          <w:p w14:paraId="00000045">
            <w:pPr>
              <w:spacing w:before="120" w:after="120"/>
              <w:jc w:val="both"/>
              <w:rPr>
                <w:rFonts w:hint="default"/>
                <w:sz w:val="22"/>
                <w:szCs w:val="22"/>
                <w:lang w:val="tr-TR"/>
              </w:rPr>
            </w:pPr>
            <w:r>
              <w:rPr>
                <w:rFonts w:hint="default"/>
                <w:sz w:val="22"/>
                <w:szCs w:val="22"/>
                <w:lang w:val="tr-TR"/>
              </w:rPr>
              <w:t>The tenderer didn't reply the invitation of tender call</w:t>
            </w:r>
          </w:p>
        </w:tc>
      </w:tr>
      <w:tr w14:paraId="0542A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p w14:paraId="3435F1D0">
            <w:pPr>
              <w:spacing w:before="120" w:after="120"/>
              <w:jc w:val="both"/>
              <w:rPr>
                <w:rFonts w:hint="default"/>
                <w:b/>
                <w:sz w:val="22"/>
                <w:szCs w:val="22"/>
                <w:lang w:val="tr-TR"/>
              </w:rPr>
            </w:pPr>
            <w:r>
              <w:rPr>
                <w:rFonts w:hint="default"/>
                <w:b/>
                <w:sz w:val="22"/>
                <w:szCs w:val="22"/>
                <w:lang w:val="tr-TR"/>
              </w:rPr>
              <w:t>2</w:t>
            </w:r>
          </w:p>
        </w:tc>
        <w:tc>
          <w:p w14:paraId="1E6023B6">
            <w:pPr>
              <w:numPr>
                <w:ilvl w:val="0"/>
                <w:numId w:val="0"/>
              </w:numPr>
              <w:spacing w:before="0" w:line="240" w:lineRule="auto"/>
              <w:ind w:left="-142" w:leftChars="0" w:firstLine="110" w:firstLineChars="50"/>
              <w:rPr>
                <w:rFonts w:hint="default" w:ascii="Times New Roman" w:hAnsi="Times New Roman" w:eastAsia="Times New Roman" w:cs="Times New Roman"/>
                <w:sz w:val="22"/>
                <w:szCs w:val="22"/>
                <w:lang w:val="tr-TR"/>
              </w:rPr>
            </w:pPr>
            <w:r>
              <w:rPr>
                <w:rFonts w:ascii="Times New Roman" w:hAnsi="Times New Roman" w:eastAsia="Times New Roman" w:cs="Times New Roman"/>
                <w:sz w:val="22"/>
                <w:szCs w:val="22"/>
                <w:rtl w:val="0"/>
              </w:rPr>
              <w:t>RE/MAX TÜRKİYE</w:t>
            </w:r>
            <w:bookmarkStart w:id="1" w:name="_heading=h.r7412t7coo79" w:colFirst="0" w:colLast="0"/>
            <w:bookmarkEnd w:id="1"/>
            <w:bookmarkStart w:id="2" w:name="_heading=h.9smtqjsds3ks" w:colFirst="0" w:colLast="0"/>
            <w:bookmarkEnd w:id="2"/>
          </w:p>
          <w:p w14:paraId="07ACD954">
            <w:pPr>
              <w:spacing w:before="120" w:after="120"/>
              <w:jc w:val="both"/>
              <w:rPr>
                <w:sz w:val="22"/>
                <w:szCs w:val="22"/>
              </w:rPr>
            </w:pPr>
          </w:p>
        </w:tc>
        <w:tc>
          <w:p w14:paraId="00000048">
            <w:pPr>
              <w:spacing w:before="120" w:after="120"/>
              <w:jc w:val="both"/>
              <w:rPr>
                <w:rFonts w:hint="default"/>
                <w:sz w:val="22"/>
                <w:szCs w:val="22"/>
                <w:lang w:val="tr-TR"/>
              </w:rPr>
            </w:pPr>
            <w:r>
              <w:rPr>
                <w:rFonts w:hint="default"/>
                <w:sz w:val="22"/>
                <w:szCs w:val="22"/>
                <w:lang w:val="tr-TR"/>
              </w:rPr>
              <w:t>N/A</w:t>
            </w:r>
          </w:p>
        </w:tc>
        <w:tc>
          <w:p w14:paraId="00000049">
            <w:pPr>
              <w:spacing w:before="120" w:after="120"/>
              <w:jc w:val="both"/>
              <w:rPr>
                <w:sz w:val="22"/>
                <w:szCs w:val="22"/>
              </w:rPr>
            </w:pPr>
            <w:r>
              <w:rPr>
                <w:rFonts w:hint="default"/>
                <w:sz w:val="22"/>
                <w:szCs w:val="22"/>
                <w:lang w:val="tr-TR"/>
              </w:rPr>
              <w:t>The tenderer didn't reply the invitation of tender call</w:t>
            </w:r>
          </w:p>
        </w:tc>
      </w:tr>
    </w:tbl>
    <w:p w14:paraId="0000004E">
      <w:pPr>
        <w:spacing w:before="120" w:after="120"/>
        <w:jc w:val="both"/>
        <w:rPr>
          <w:sz w:val="22"/>
          <w:szCs w:val="22"/>
        </w:rPr>
      </w:pPr>
    </w:p>
    <w:p w14:paraId="0000004F">
      <w:pPr>
        <w:spacing w:before="120" w:after="120"/>
        <w:ind w:left="709" w:firstLine="0"/>
        <w:jc w:val="both"/>
        <w:rPr>
          <w:sz w:val="22"/>
          <w:szCs w:val="22"/>
        </w:rPr>
      </w:pPr>
      <w:r>
        <w:rPr>
          <w:sz w:val="22"/>
          <w:szCs w:val="22"/>
          <w:rtl w:val="0"/>
        </w:rPr>
        <w:t>The completed administrative compliance grid is attached. On the basis of this, the evaluation committee decided that the following tenders were administratively non-compliant and should not be considered further:</w:t>
      </w:r>
    </w:p>
    <w:p w14:paraId="00000068">
      <w:pPr>
        <w:spacing w:before="240" w:after="120"/>
        <w:jc w:val="both"/>
        <w:rPr>
          <w:b/>
          <w:sz w:val="22"/>
          <w:szCs w:val="22"/>
        </w:rPr>
      </w:pPr>
      <w:r>
        <w:rPr>
          <w:b/>
          <w:sz w:val="22"/>
          <w:szCs w:val="22"/>
          <w:rtl w:val="0"/>
        </w:rPr>
        <w:t>3.2</w:t>
      </w:r>
      <w:r>
        <w:rPr>
          <w:b/>
          <w:sz w:val="22"/>
          <w:szCs w:val="22"/>
          <w:rtl w:val="0"/>
        </w:rPr>
        <w:tab/>
      </w:r>
      <w:r>
        <w:rPr>
          <w:b/>
          <w:sz w:val="22"/>
          <w:szCs w:val="22"/>
          <w:rtl w:val="0"/>
        </w:rPr>
        <w:t>Technical compliance</w:t>
      </w:r>
    </w:p>
    <w:tbl>
      <w:tblPr>
        <w:tblStyle w:val="45"/>
        <w:tblW w:w="9781"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127"/>
        <w:gridCol w:w="1984"/>
        <w:gridCol w:w="1418"/>
        <w:gridCol w:w="4252"/>
      </w:tblGrid>
      <w:tr w14:paraId="53ED1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shd w:val="clear" w:color="auto" w:fill="E6E6E6"/>
          </w:tcPr>
          <w:p w14:paraId="0000006C">
            <w:pPr>
              <w:ind w:left="709" w:right="-454" w:firstLine="0"/>
              <w:jc w:val="both"/>
              <w:rPr>
                <w:b/>
                <w:sz w:val="22"/>
                <w:szCs w:val="22"/>
              </w:rPr>
            </w:pPr>
            <w:r>
              <w:rPr>
                <w:b/>
                <w:sz w:val="22"/>
                <w:szCs w:val="22"/>
                <w:rtl w:val="0"/>
              </w:rPr>
              <w:t>Tender  number</w:t>
            </w:r>
          </w:p>
        </w:tc>
        <w:tc>
          <w:tcPr>
            <w:shd w:val="clear" w:color="auto" w:fill="E6E6E6"/>
          </w:tcPr>
          <w:p w14:paraId="0000006D">
            <w:pPr>
              <w:spacing w:before="120" w:after="120"/>
              <w:jc w:val="center"/>
              <w:rPr>
                <w:b/>
                <w:sz w:val="22"/>
                <w:szCs w:val="22"/>
              </w:rPr>
            </w:pPr>
            <w:r>
              <w:rPr>
                <w:b/>
                <w:sz w:val="22"/>
                <w:szCs w:val="22"/>
                <w:rtl w:val="0"/>
              </w:rPr>
              <w:t>Tenderer name</w:t>
            </w:r>
          </w:p>
        </w:tc>
        <w:tc>
          <w:tcPr>
            <w:shd w:val="clear" w:color="auto" w:fill="E6E6E6"/>
          </w:tcPr>
          <w:p w14:paraId="0000006E">
            <w:pPr>
              <w:spacing w:before="120" w:after="120"/>
              <w:jc w:val="center"/>
              <w:rPr>
                <w:b/>
                <w:sz w:val="22"/>
                <w:szCs w:val="22"/>
              </w:rPr>
            </w:pPr>
            <w:r>
              <w:rPr>
                <w:b/>
                <w:sz w:val="22"/>
                <w:szCs w:val="22"/>
                <w:rtl w:val="0"/>
              </w:rPr>
              <w:t>Lot number*</w:t>
            </w:r>
          </w:p>
        </w:tc>
        <w:tc>
          <w:tcPr>
            <w:shd w:val="clear" w:color="auto" w:fill="E6E6E6"/>
          </w:tcPr>
          <w:p w14:paraId="0000006F">
            <w:pPr>
              <w:spacing w:before="120" w:after="120"/>
              <w:jc w:val="center"/>
              <w:rPr>
                <w:b/>
                <w:sz w:val="22"/>
                <w:szCs w:val="22"/>
              </w:rPr>
            </w:pPr>
            <w:r>
              <w:rPr>
                <w:b/>
                <w:sz w:val="22"/>
                <w:szCs w:val="22"/>
                <w:rtl w:val="0"/>
              </w:rPr>
              <w:t>Summary of exchange of correspondence</w:t>
            </w:r>
          </w:p>
        </w:tc>
      </w:tr>
      <w:tr w14:paraId="6901E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shd w:val="clear"/>
            <w:vAlign w:val="top"/>
          </w:tcPr>
          <w:p w14:paraId="00000070">
            <w:pPr>
              <w:spacing w:before="120" w:after="120"/>
              <w:jc w:val="both"/>
              <w:rPr>
                <w:rFonts w:hint="default"/>
                <w:b/>
                <w:snapToGrid w:val="0"/>
                <w:sz w:val="22"/>
                <w:szCs w:val="22"/>
                <w:lang w:val="tr-TR" w:eastAsia="en-US"/>
              </w:rPr>
            </w:pPr>
            <w:r>
              <w:rPr>
                <w:rFonts w:hint="default"/>
                <w:b/>
                <w:sz w:val="22"/>
                <w:szCs w:val="22"/>
                <w:lang w:val="tr-TR"/>
              </w:rPr>
              <w:t>1</w:t>
            </w:r>
          </w:p>
        </w:tc>
        <w:tc>
          <w:tcPr>
            <w:shd w:val="clear"/>
            <w:vAlign w:val="top"/>
          </w:tcPr>
          <w:p w14:paraId="60ECD568">
            <w:pPr>
              <w:numPr>
                <w:ilvl w:val="0"/>
                <w:numId w:val="0"/>
              </w:numPr>
              <w:spacing w:before="0" w:line="240" w:lineRule="auto"/>
              <w:ind w:left="-142" w:leftChars="0" w:firstLine="110" w:firstLineChars="50"/>
            </w:pPr>
            <w:r>
              <w:rPr>
                <w:rFonts w:ascii="Times New Roman" w:hAnsi="Times New Roman" w:eastAsia="Times New Roman" w:cs="Times New Roman"/>
                <w:sz w:val="22"/>
                <w:szCs w:val="22"/>
                <w:rtl w:val="0"/>
              </w:rPr>
              <w:t>COLDWELL BANKER</w:t>
            </w:r>
          </w:p>
          <w:p w14:paraId="0E5B093F">
            <w:pPr>
              <w:spacing w:before="120" w:after="120"/>
              <w:jc w:val="both"/>
              <w:rPr>
                <w:snapToGrid w:val="0"/>
                <w:sz w:val="22"/>
                <w:szCs w:val="22"/>
                <w:lang w:val="fr-FR" w:eastAsia="en-US"/>
              </w:rPr>
            </w:pPr>
          </w:p>
        </w:tc>
        <w:tc>
          <w:tcPr>
            <w:shd w:val="clear"/>
            <w:vAlign w:val="top"/>
          </w:tcPr>
          <w:p w14:paraId="00000072">
            <w:pPr>
              <w:numPr>
                <w:ilvl w:val="0"/>
                <w:numId w:val="0"/>
              </w:numPr>
              <w:spacing w:before="0" w:line="240" w:lineRule="auto"/>
              <w:ind w:left="0" w:leftChars="0" w:firstLine="0" w:firstLineChars="0"/>
              <w:rPr>
                <w:rFonts w:hint="default"/>
                <w:snapToGrid w:val="0"/>
                <w:sz w:val="22"/>
                <w:szCs w:val="22"/>
                <w:lang w:val="tr-TR" w:eastAsia="en-US"/>
              </w:rPr>
            </w:pPr>
            <w:r>
              <w:rPr>
                <w:rFonts w:hint="default"/>
                <w:sz w:val="22"/>
                <w:szCs w:val="22"/>
                <w:lang w:val="tr-TR"/>
              </w:rPr>
              <w:t>N/A</w:t>
            </w:r>
          </w:p>
        </w:tc>
        <w:tc>
          <w:tcPr>
            <w:shd w:val="clear"/>
            <w:vAlign w:val="top"/>
          </w:tcPr>
          <w:p w14:paraId="00000073">
            <w:pPr>
              <w:spacing w:before="120" w:after="120"/>
              <w:jc w:val="both"/>
              <w:rPr>
                <w:rFonts w:hint="default"/>
                <w:snapToGrid w:val="0"/>
                <w:sz w:val="22"/>
                <w:szCs w:val="22"/>
                <w:lang w:val="tr-TR" w:eastAsia="en-US"/>
              </w:rPr>
            </w:pPr>
            <w:r>
              <w:rPr>
                <w:rFonts w:hint="default"/>
                <w:sz w:val="22"/>
                <w:szCs w:val="22"/>
                <w:lang w:val="tr-TR"/>
              </w:rPr>
              <w:t>The tenderer didn't reply the invitation of tender call</w:t>
            </w:r>
          </w:p>
        </w:tc>
      </w:tr>
      <w:tr w14:paraId="6CDB71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tcPr>
            <w:shd w:val="clear"/>
            <w:vAlign w:val="top"/>
          </w:tcPr>
          <w:p w14:paraId="00000074">
            <w:pPr>
              <w:spacing w:before="120" w:after="120"/>
              <w:jc w:val="both"/>
              <w:rPr>
                <w:rFonts w:hint="default"/>
                <w:b/>
                <w:snapToGrid w:val="0"/>
                <w:sz w:val="22"/>
                <w:szCs w:val="22"/>
                <w:lang w:val="tr-TR" w:eastAsia="en-US"/>
              </w:rPr>
            </w:pPr>
            <w:r>
              <w:rPr>
                <w:rFonts w:hint="default"/>
                <w:b/>
                <w:sz w:val="22"/>
                <w:szCs w:val="22"/>
                <w:lang w:val="tr-TR"/>
              </w:rPr>
              <w:t>2</w:t>
            </w:r>
          </w:p>
        </w:tc>
        <w:tc>
          <w:tcPr>
            <w:shd w:val="clear"/>
            <w:vAlign w:val="top"/>
          </w:tcPr>
          <w:p w14:paraId="49FDF099">
            <w:pPr>
              <w:numPr>
                <w:ilvl w:val="0"/>
                <w:numId w:val="0"/>
              </w:numPr>
              <w:spacing w:before="0" w:line="240" w:lineRule="auto"/>
              <w:ind w:left="-142" w:leftChars="0" w:firstLine="110" w:firstLineChars="50"/>
              <w:rPr>
                <w:rFonts w:hint="default" w:ascii="Times New Roman" w:hAnsi="Times New Roman" w:eastAsia="Times New Roman" w:cs="Times New Roman"/>
                <w:sz w:val="22"/>
                <w:szCs w:val="22"/>
                <w:lang w:val="tr-TR"/>
              </w:rPr>
            </w:pPr>
            <w:r>
              <w:rPr>
                <w:rFonts w:ascii="Times New Roman" w:hAnsi="Times New Roman" w:eastAsia="Times New Roman" w:cs="Times New Roman"/>
                <w:sz w:val="22"/>
                <w:szCs w:val="22"/>
                <w:rtl w:val="0"/>
              </w:rPr>
              <w:t>RE/MAX TÜRKİYE</w:t>
            </w:r>
          </w:p>
          <w:p w14:paraId="4B787FE8">
            <w:pPr>
              <w:spacing w:before="120" w:after="120"/>
              <w:jc w:val="both"/>
              <w:rPr>
                <w:snapToGrid w:val="0"/>
                <w:sz w:val="22"/>
                <w:szCs w:val="22"/>
                <w:lang w:val="fr-FR" w:eastAsia="en-US"/>
              </w:rPr>
            </w:pPr>
          </w:p>
        </w:tc>
        <w:tc>
          <w:tcPr>
            <w:shd w:val="clear"/>
            <w:vAlign w:val="top"/>
          </w:tcPr>
          <w:p w14:paraId="00000076">
            <w:pPr>
              <w:spacing w:before="120" w:after="120"/>
              <w:jc w:val="both"/>
              <w:rPr>
                <w:rFonts w:hint="default"/>
                <w:snapToGrid w:val="0"/>
                <w:sz w:val="22"/>
                <w:szCs w:val="22"/>
                <w:lang w:val="tr-TR" w:eastAsia="en-US"/>
              </w:rPr>
            </w:pPr>
            <w:r>
              <w:rPr>
                <w:rFonts w:hint="default"/>
                <w:sz w:val="22"/>
                <w:szCs w:val="22"/>
                <w:lang w:val="tr-TR"/>
              </w:rPr>
              <w:t>N/A</w:t>
            </w:r>
          </w:p>
        </w:tc>
        <w:tc>
          <w:tcPr>
            <w:shd w:val="clear"/>
            <w:vAlign w:val="top"/>
          </w:tcPr>
          <w:p w14:paraId="00000077">
            <w:pPr>
              <w:spacing w:before="120" w:after="120"/>
              <w:jc w:val="both"/>
              <w:rPr>
                <w:snapToGrid w:val="0"/>
                <w:sz w:val="22"/>
                <w:szCs w:val="22"/>
                <w:lang w:val="fr-FR" w:eastAsia="en-US"/>
              </w:rPr>
            </w:pPr>
            <w:r>
              <w:rPr>
                <w:rFonts w:hint="default"/>
                <w:sz w:val="22"/>
                <w:szCs w:val="22"/>
                <w:lang w:val="tr-TR"/>
              </w:rPr>
              <w:t>The tenderer didn't reply the invitation of tender call</w:t>
            </w:r>
          </w:p>
        </w:tc>
      </w:tr>
    </w:tbl>
    <w:p w14:paraId="0000007C">
      <w:pPr>
        <w:ind w:left="709" w:right="-454" w:firstLine="0"/>
        <w:jc w:val="both"/>
        <w:rPr>
          <w:sz w:val="22"/>
          <w:szCs w:val="22"/>
        </w:rPr>
      </w:pPr>
      <w:r>
        <w:rPr>
          <w:sz w:val="22"/>
          <w:szCs w:val="22"/>
          <w:rtl w:val="0"/>
        </w:rPr>
        <w:t>Each evaluator on the evaluation committee used the technical evaluation grid includtender dossier. The completed technical evaluation grids are attached.</w:t>
      </w:r>
    </w:p>
    <w:p w14:paraId="0000007D">
      <w:pPr>
        <w:spacing w:before="120" w:after="240"/>
        <w:ind w:left="709" w:right="-454" w:firstLine="0"/>
        <w:jc w:val="both"/>
        <w:rPr>
          <w:sz w:val="22"/>
          <w:szCs w:val="22"/>
          <w:rtl w:val="0"/>
        </w:rPr>
      </w:pPr>
      <w:r>
        <w:rPr>
          <w:sz w:val="22"/>
          <w:szCs w:val="22"/>
          <w:rtl w:val="0"/>
        </w:rPr>
        <w:t>After discussing the individual conclusions of the evaluators, the evaluation committee concluded that the following tenders were technically non-compliant and should not be considered further:</w:t>
      </w:r>
    </w:p>
    <w:p w14:paraId="4B48E4E7">
      <w:pPr>
        <w:spacing w:before="120" w:after="240"/>
        <w:ind w:left="709" w:right="-454" w:firstLine="0"/>
        <w:jc w:val="both"/>
        <w:rPr>
          <w:sz w:val="22"/>
          <w:szCs w:val="22"/>
          <w:rtl w:val="0"/>
        </w:rPr>
      </w:pPr>
    </w:p>
    <w:p w14:paraId="0000008E">
      <w:pPr>
        <w:spacing w:before="240" w:after="120"/>
        <w:jc w:val="both"/>
        <w:rPr>
          <w:b/>
          <w:sz w:val="22"/>
          <w:szCs w:val="22"/>
        </w:rPr>
      </w:pPr>
      <w:r>
        <w:rPr>
          <w:b/>
          <w:sz w:val="22"/>
          <w:szCs w:val="22"/>
          <w:rtl w:val="0"/>
        </w:rPr>
        <w:t>3.3</w:t>
      </w:r>
      <w:r>
        <w:rPr>
          <w:b/>
          <w:sz w:val="22"/>
          <w:szCs w:val="22"/>
          <w:rtl w:val="0"/>
        </w:rPr>
        <w:tab/>
      </w:r>
      <w:r>
        <w:rPr>
          <w:b/>
          <w:sz w:val="22"/>
          <w:szCs w:val="22"/>
          <w:rtl w:val="0"/>
        </w:rPr>
        <w:t>Financial evaluation</w:t>
      </w:r>
    </w:p>
    <w:p w14:paraId="0000008F">
      <w:pPr>
        <w:ind w:left="851" w:firstLine="0"/>
        <w:jc w:val="both"/>
        <w:rPr>
          <w:sz w:val="22"/>
          <w:szCs w:val="22"/>
        </w:rPr>
      </w:pPr>
      <w:r>
        <w:rPr>
          <w:sz w:val="22"/>
          <w:szCs w:val="22"/>
          <w:rtl w:val="0"/>
        </w:rPr>
        <w:t>The evaluation committee checked the technically compliant tenders for arithmetic errors.</w:t>
      </w:r>
    </w:p>
    <w:p w14:paraId="00000090">
      <w:pPr>
        <w:spacing w:before="120" w:after="120"/>
        <w:ind w:left="851" w:firstLine="0"/>
        <w:jc w:val="both"/>
        <w:rPr>
          <w:sz w:val="22"/>
          <w:szCs w:val="22"/>
        </w:rPr>
      </w:pPr>
      <w:r>
        <w:rPr>
          <w:sz w:val="22"/>
          <w:szCs w:val="22"/>
          <w:rtl w:val="0"/>
        </w:rPr>
        <w:t>If any arithmetic errors were found:</w:t>
      </w:r>
    </w:p>
    <w:p w14:paraId="00000091">
      <w:pPr>
        <w:ind w:left="851" w:firstLine="0"/>
        <w:jc w:val="both"/>
        <w:rPr>
          <w:sz w:val="22"/>
          <w:szCs w:val="22"/>
        </w:rPr>
      </w:pPr>
      <w:r>
        <w:rPr>
          <w:sz w:val="22"/>
          <w:szCs w:val="22"/>
          <w:rtl w:val="0"/>
        </w:rPr>
        <w:t>As stated in the instructions to tenderers, arithmetic errors were corrected on the following basis:</w:t>
      </w:r>
    </w:p>
    <w:p w14:paraId="00000092">
      <w:pPr>
        <w:numPr>
          <w:ilvl w:val="0"/>
          <w:numId w:val="1"/>
        </w:numPr>
        <w:ind w:left="1418" w:hanging="360"/>
        <w:jc w:val="both"/>
        <w:rPr>
          <w:sz w:val="22"/>
          <w:szCs w:val="22"/>
        </w:rPr>
      </w:pPr>
      <w:r>
        <w:rPr>
          <w:sz w:val="22"/>
          <w:szCs w:val="22"/>
          <w:rtl w:val="0"/>
        </w:rPr>
        <w:t>Where there was a discrepancy between amounts in figures and in words, the amount in words prevailed</w:t>
      </w:r>
    </w:p>
    <w:p w14:paraId="00000093">
      <w:pPr>
        <w:numPr>
          <w:ilvl w:val="0"/>
          <w:numId w:val="1"/>
        </w:numPr>
        <w:ind w:left="1418" w:hanging="360"/>
        <w:jc w:val="both"/>
        <w:rPr>
          <w:sz w:val="22"/>
          <w:szCs w:val="22"/>
        </w:rPr>
      </w:pPr>
      <w:r>
        <w:rPr>
          <w:sz w:val="22"/>
          <w:szCs w:val="22"/>
          <w:rtl w:val="0"/>
        </w:rPr>
        <w:t>Where there was a discrepancy between a unit price and the total amount derived from the multiplication of the unit price and the quantity, the unit price as quoted prevailed, except where the evaluation committee agreed that there was an obvious error in the unit price, in which case the total amount as quoted prevailed</w:t>
      </w:r>
    </w:p>
    <w:p w14:paraId="00000094">
      <w:pPr>
        <w:numPr>
          <w:ilvl w:val="0"/>
          <w:numId w:val="1"/>
        </w:numPr>
        <w:ind w:left="1418" w:hanging="360"/>
        <w:jc w:val="both"/>
        <w:rPr>
          <w:sz w:val="22"/>
          <w:szCs w:val="22"/>
        </w:rPr>
      </w:pPr>
      <w:r>
        <w:rPr>
          <w:sz w:val="22"/>
          <w:szCs w:val="22"/>
          <w:rtl w:val="0"/>
        </w:rPr>
        <w:t>Where unconditional discounts applied to financial offers for individual lots, the discount was applied to the financial offer</w:t>
      </w:r>
    </w:p>
    <w:p w14:paraId="00000095">
      <w:pPr>
        <w:keepNext/>
        <w:keepLines/>
        <w:spacing w:before="120" w:after="120"/>
        <w:ind w:left="851" w:firstLine="0"/>
        <w:jc w:val="both"/>
        <w:rPr>
          <w:sz w:val="22"/>
          <w:szCs w:val="22"/>
        </w:rPr>
      </w:pPr>
      <w:r>
        <w:rPr>
          <w:sz w:val="22"/>
          <w:szCs w:val="22"/>
          <w:rtl w:val="0"/>
        </w:rPr>
        <w:t>The following arithmetic corrections were made:</w:t>
      </w:r>
    </w:p>
    <w:tbl>
      <w:tblPr>
        <w:tblStyle w:val="47"/>
        <w:tblW w:w="86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563"/>
        <w:gridCol w:w="2268"/>
        <w:gridCol w:w="992"/>
        <w:gridCol w:w="1700"/>
        <w:gridCol w:w="2155"/>
      </w:tblGrid>
      <w:tr w14:paraId="54E43A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jc w:val="center"/>
        </w:trPr>
        <w:tc>
          <w:tcPr>
            <w:tcW w:w="1563" w:type="dxa"/>
            <w:shd w:val="clear" w:color="auto" w:fill="E6E6E6"/>
          </w:tcPr>
          <w:p w14:paraId="00000096">
            <w:pPr>
              <w:keepNext/>
              <w:keepLines/>
              <w:spacing w:before="120" w:after="120"/>
              <w:jc w:val="center"/>
              <w:rPr>
                <w:b/>
                <w:sz w:val="22"/>
                <w:szCs w:val="22"/>
              </w:rPr>
            </w:pPr>
            <w:r>
              <w:rPr>
                <w:b/>
                <w:sz w:val="22"/>
                <w:szCs w:val="22"/>
                <w:rtl w:val="0"/>
              </w:rPr>
              <w:t>Tender number</w:t>
            </w:r>
          </w:p>
        </w:tc>
        <w:tc>
          <w:tcPr>
            <w:shd w:val="clear" w:color="auto" w:fill="E6E6E6"/>
          </w:tcPr>
          <w:p w14:paraId="00000097">
            <w:pPr>
              <w:keepNext/>
              <w:keepLines/>
              <w:spacing w:before="120" w:after="120"/>
              <w:jc w:val="center"/>
              <w:rPr>
                <w:b/>
                <w:sz w:val="22"/>
                <w:szCs w:val="22"/>
              </w:rPr>
            </w:pPr>
            <w:r>
              <w:rPr>
                <w:b/>
                <w:sz w:val="22"/>
                <w:szCs w:val="22"/>
                <w:rtl w:val="0"/>
              </w:rPr>
              <w:t>Tenderer name</w:t>
            </w:r>
          </w:p>
        </w:tc>
        <w:tc>
          <w:tcPr>
            <w:shd w:val="clear" w:color="auto" w:fill="E6E6E6"/>
          </w:tcPr>
          <w:p w14:paraId="00000098">
            <w:pPr>
              <w:keepNext/>
              <w:keepLines/>
              <w:spacing w:before="120" w:after="120"/>
              <w:jc w:val="center"/>
              <w:rPr>
                <w:b/>
                <w:sz w:val="22"/>
                <w:szCs w:val="22"/>
              </w:rPr>
            </w:pPr>
            <w:r>
              <w:rPr>
                <w:b/>
                <w:sz w:val="22"/>
                <w:szCs w:val="22"/>
                <w:rtl w:val="0"/>
              </w:rPr>
              <w:t>Lot number*</w:t>
            </w:r>
          </w:p>
        </w:tc>
        <w:tc>
          <w:tcPr>
            <w:shd w:val="clear" w:color="auto" w:fill="E6E6E6"/>
          </w:tcPr>
          <w:p w14:paraId="00000099">
            <w:pPr>
              <w:keepNext/>
              <w:keepLines/>
              <w:spacing w:before="120" w:after="120"/>
              <w:jc w:val="center"/>
              <w:rPr>
                <w:b/>
                <w:sz w:val="22"/>
                <w:szCs w:val="22"/>
              </w:rPr>
            </w:pPr>
            <w:r>
              <w:rPr>
                <w:b/>
                <w:sz w:val="22"/>
                <w:szCs w:val="22"/>
                <w:rtl w:val="0"/>
              </w:rPr>
              <w:t>Stated financial offer</w:t>
            </w:r>
            <w:r>
              <w:rPr>
                <w:b/>
                <w:sz w:val="22"/>
                <w:szCs w:val="22"/>
                <w:rtl w:val="0"/>
              </w:rPr>
              <w:br w:type="textWrapping"/>
            </w:r>
            <w:r>
              <w:rPr>
                <w:b/>
                <w:sz w:val="22"/>
                <w:szCs w:val="22"/>
                <w:rtl w:val="0"/>
              </w:rPr>
              <w:t xml:space="preserve">TRY </w:t>
            </w:r>
          </w:p>
        </w:tc>
        <w:tc>
          <w:tcPr>
            <w:shd w:val="clear" w:color="auto" w:fill="E6E6E6"/>
          </w:tcPr>
          <w:p w14:paraId="0000009A">
            <w:pPr>
              <w:keepNext/>
              <w:keepLines/>
              <w:spacing w:before="120" w:after="120"/>
              <w:jc w:val="center"/>
              <w:rPr>
                <w:b/>
                <w:sz w:val="22"/>
                <w:szCs w:val="22"/>
              </w:rPr>
            </w:pPr>
            <w:r>
              <w:rPr>
                <w:b/>
                <w:sz w:val="22"/>
                <w:szCs w:val="22"/>
                <w:rtl w:val="0"/>
              </w:rPr>
              <w:t>Arithmetically corrected financial offer</w:t>
            </w:r>
            <w:r>
              <w:rPr>
                <w:b/>
                <w:sz w:val="22"/>
                <w:szCs w:val="22"/>
                <w:rtl w:val="0"/>
              </w:rPr>
              <w:br w:type="textWrapping"/>
            </w:r>
            <w:r>
              <w:rPr>
                <w:b/>
                <w:sz w:val="22"/>
                <w:szCs w:val="22"/>
                <w:rtl w:val="0"/>
              </w:rPr>
              <w:t xml:space="preserve">TRY </w:t>
            </w:r>
          </w:p>
        </w:tc>
      </w:tr>
      <w:tr w14:paraId="46DC0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jc w:val="center"/>
        </w:trPr>
        <w:tc>
          <w:tcPr>
            <w:tcW w:w="1563" w:type="dxa"/>
          </w:tcPr>
          <w:p w14:paraId="0000009B">
            <w:pPr>
              <w:keepNext/>
              <w:keepLines/>
              <w:spacing w:before="120" w:after="120"/>
              <w:jc w:val="both"/>
              <w:rPr>
                <w:rFonts w:hint="default"/>
                <w:b/>
                <w:sz w:val="22"/>
                <w:szCs w:val="22"/>
                <w:lang w:val="tr-TR"/>
              </w:rPr>
            </w:pPr>
            <w:r>
              <w:rPr>
                <w:rFonts w:hint="default"/>
                <w:b/>
                <w:sz w:val="22"/>
                <w:szCs w:val="22"/>
                <w:lang w:val="tr-TR"/>
              </w:rPr>
              <w:t>3</w:t>
            </w:r>
          </w:p>
        </w:tc>
        <w:tc>
          <w:p w14:paraId="0000009C">
            <w:pPr>
              <w:keepNext/>
              <w:keepLines/>
              <w:spacing w:before="120" w:after="120"/>
              <w:jc w:val="both"/>
              <w:rPr>
                <w:rFonts w:hint="default"/>
                <w:sz w:val="22"/>
                <w:szCs w:val="22"/>
                <w:lang w:val="tr-TR"/>
              </w:rPr>
            </w:pPr>
            <w:r>
              <w:rPr>
                <w:rFonts w:hint="default"/>
                <w:sz w:val="22"/>
                <w:szCs w:val="22"/>
                <w:lang w:val="tr-TR"/>
              </w:rPr>
              <w:t>MY OFIS</w:t>
            </w:r>
          </w:p>
        </w:tc>
        <w:tc>
          <w:p w14:paraId="0000009D">
            <w:pPr>
              <w:keepNext/>
              <w:keepLines/>
              <w:spacing w:before="120" w:after="120"/>
              <w:jc w:val="both"/>
              <w:rPr>
                <w:sz w:val="22"/>
                <w:szCs w:val="22"/>
              </w:rPr>
            </w:pPr>
            <w:r>
              <w:rPr>
                <w:sz w:val="22"/>
                <w:szCs w:val="22"/>
                <w:rtl w:val="0"/>
              </w:rPr>
              <w:t>N/A</w:t>
            </w:r>
          </w:p>
        </w:tc>
        <w:tc>
          <w:p w14:paraId="0000009E">
            <w:pPr>
              <w:keepNext/>
              <w:keepLines/>
              <w:spacing w:before="120" w:after="120"/>
              <w:jc w:val="both"/>
              <w:rPr>
                <w:rFonts w:hint="default"/>
                <w:sz w:val="22"/>
                <w:szCs w:val="22"/>
                <w:lang w:val="tr-TR"/>
              </w:rPr>
            </w:pPr>
            <w:r>
              <w:rPr>
                <w:rFonts w:hint="default"/>
                <w:sz w:val="22"/>
                <w:szCs w:val="22"/>
                <w:lang w:val="tr-TR"/>
              </w:rPr>
              <w:t xml:space="preserve">330.000 TRY for 1 year </w:t>
            </w:r>
          </w:p>
        </w:tc>
        <w:tc>
          <w:p w14:paraId="0000009F">
            <w:pPr>
              <w:keepNext/>
              <w:keepLines/>
              <w:spacing w:before="120" w:after="120"/>
              <w:jc w:val="both"/>
              <w:rPr>
                <w:sz w:val="22"/>
                <w:szCs w:val="22"/>
              </w:rPr>
            </w:pPr>
            <w:r>
              <w:rPr>
                <w:rFonts w:hint="default"/>
                <w:sz w:val="22"/>
                <w:szCs w:val="22"/>
                <w:lang w:val="tr-TR"/>
              </w:rPr>
              <w:t xml:space="preserve">330.000 TRY for 1 year </w:t>
            </w:r>
          </w:p>
        </w:tc>
      </w:tr>
    </w:tbl>
    <w:p w14:paraId="000000A5">
      <w:pPr>
        <w:jc w:val="both"/>
        <w:rPr>
          <w:sz w:val="22"/>
          <w:szCs w:val="22"/>
        </w:rPr>
      </w:pPr>
    </w:p>
    <w:p w14:paraId="000000A6">
      <w:pPr>
        <w:ind w:left="851" w:firstLine="0"/>
        <w:jc w:val="both"/>
        <w:rPr>
          <w:sz w:val="22"/>
          <w:szCs w:val="22"/>
        </w:rPr>
      </w:pPr>
      <w:r>
        <w:rPr>
          <w:sz w:val="22"/>
          <w:szCs w:val="22"/>
          <w:highlight w:val="lightGray"/>
          <w:rtl w:val="0"/>
        </w:rPr>
        <w:t>The arithmetically corrected financial offers were compared for each lot to identify the technically compliant tender with the lowest price for that lot.</w:t>
      </w:r>
    </w:p>
    <w:p w14:paraId="000000AF">
      <w:pPr>
        <w:spacing w:before="120" w:after="120"/>
        <w:ind w:left="851" w:firstLine="0"/>
        <w:rPr>
          <w:sz w:val="22"/>
          <w:szCs w:val="22"/>
        </w:rPr>
      </w:pPr>
      <w:r>
        <w:rPr>
          <w:sz w:val="22"/>
          <w:szCs w:val="22"/>
          <w:highlight w:val="lightGray"/>
          <w:rtl w:val="0"/>
        </w:rPr>
        <w:t>The ranking of the tenders which were not excluded during the evaluation was as follows, in order of the arithmetically corrected financial offers:</w:t>
      </w:r>
    </w:p>
    <w:tbl>
      <w:tblPr>
        <w:tblStyle w:val="48"/>
        <w:tblW w:w="888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313"/>
        <w:gridCol w:w="2048"/>
        <w:gridCol w:w="1134"/>
        <w:gridCol w:w="2835"/>
        <w:gridCol w:w="1559"/>
      </w:tblGrid>
      <w:tr w14:paraId="24B801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blHeader/>
          <w:jc w:val="center"/>
        </w:trPr>
        <w:tc>
          <w:tcPr>
            <w:tcW w:w="1313" w:type="dxa"/>
            <w:shd w:val="clear" w:color="auto" w:fill="E6E6E6"/>
          </w:tcPr>
          <w:p w14:paraId="000000B0">
            <w:pPr>
              <w:spacing w:before="120" w:after="120"/>
              <w:jc w:val="center"/>
              <w:rPr>
                <w:b/>
                <w:sz w:val="22"/>
                <w:szCs w:val="22"/>
              </w:rPr>
            </w:pPr>
            <w:r>
              <w:rPr>
                <w:b/>
                <w:sz w:val="22"/>
                <w:szCs w:val="22"/>
                <w:rtl w:val="0"/>
              </w:rPr>
              <w:t>Tender number</w:t>
            </w:r>
          </w:p>
        </w:tc>
        <w:tc>
          <w:tcPr>
            <w:tcW w:w="2048" w:type="dxa"/>
            <w:shd w:val="clear" w:color="auto" w:fill="E6E6E6"/>
          </w:tcPr>
          <w:p w14:paraId="000000B1">
            <w:pPr>
              <w:spacing w:before="120" w:after="120"/>
              <w:jc w:val="center"/>
              <w:rPr>
                <w:b/>
                <w:sz w:val="22"/>
                <w:szCs w:val="22"/>
              </w:rPr>
            </w:pPr>
            <w:r>
              <w:rPr>
                <w:b/>
                <w:sz w:val="22"/>
                <w:szCs w:val="22"/>
                <w:rtl w:val="0"/>
              </w:rPr>
              <w:t>Tenderer name</w:t>
            </w:r>
          </w:p>
        </w:tc>
        <w:tc>
          <w:tcPr>
            <w:shd w:val="clear" w:color="auto" w:fill="E6E6E6"/>
          </w:tcPr>
          <w:p w14:paraId="000000B2">
            <w:pPr>
              <w:spacing w:before="120" w:after="120"/>
              <w:jc w:val="center"/>
              <w:rPr>
                <w:b/>
                <w:sz w:val="22"/>
                <w:szCs w:val="22"/>
              </w:rPr>
            </w:pPr>
            <w:r>
              <w:rPr>
                <w:b/>
                <w:sz w:val="22"/>
                <w:szCs w:val="22"/>
                <w:highlight w:val="lightGray"/>
                <w:rtl w:val="0"/>
              </w:rPr>
              <w:t>Lot number</w:t>
            </w:r>
            <w:r>
              <w:rPr>
                <w:b/>
                <w:sz w:val="22"/>
                <w:szCs w:val="22"/>
                <w:rtl w:val="0"/>
              </w:rPr>
              <w:t>*</w:t>
            </w:r>
          </w:p>
        </w:tc>
        <w:tc>
          <w:tcPr>
            <w:shd w:val="clear" w:color="auto" w:fill="E6E6E6"/>
          </w:tcPr>
          <w:p w14:paraId="000000B3">
            <w:pPr>
              <w:spacing w:before="120" w:after="120"/>
              <w:jc w:val="center"/>
              <w:rPr>
                <w:b/>
                <w:sz w:val="22"/>
                <w:szCs w:val="22"/>
              </w:rPr>
            </w:pPr>
            <w:r>
              <w:rPr>
                <w:b/>
                <w:sz w:val="22"/>
                <w:szCs w:val="22"/>
                <w:rtl w:val="0"/>
              </w:rPr>
              <w:t>Financial offer</w:t>
            </w:r>
            <w:r>
              <w:rPr>
                <w:b/>
                <w:sz w:val="22"/>
                <w:szCs w:val="22"/>
                <w:rtl w:val="0"/>
              </w:rPr>
              <w:br w:type="textWrapping"/>
            </w:r>
            <w:bookmarkStart w:id="4" w:name="_GoBack"/>
            <w:bookmarkEnd w:id="4"/>
            <w:r>
              <w:rPr>
                <w:sz w:val="22"/>
                <w:szCs w:val="22"/>
                <w:rtl w:val="0"/>
              </w:rPr>
              <w:br w:type="textWrapping"/>
            </w:r>
            <w:r>
              <w:rPr>
                <w:b/>
                <w:sz w:val="22"/>
                <w:szCs w:val="22"/>
                <w:rtl w:val="0"/>
              </w:rPr>
              <w:t>TRY</w:t>
            </w:r>
          </w:p>
        </w:tc>
        <w:tc>
          <w:tcPr>
            <w:shd w:val="clear" w:color="auto" w:fill="E6E6E6"/>
          </w:tcPr>
          <w:p w14:paraId="000000B4">
            <w:pPr>
              <w:spacing w:before="120" w:after="120"/>
              <w:jc w:val="center"/>
              <w:rPr>
                <w:b/>
                <w:sz w:val="22"/>
                <w:szCs w:val="22"/>
              </w:rPr>
            </w:pPr>
            <w:r>
              <w:rPr>
                <w:b/>
                <w:sz w:val="22"/>
                <w:szCs w:val="22"/>
                <w:rtl w:val="0"/>
              </w:rPr>
              <w:t>Ranking</w:t>
            </w:r>
          </w:p>
        </w:tc>
      </w:tr>
      <w:tr w14:paraId="590FD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jc w:val="center"/>
        </w:trPr>
        <w:tc>
          <w:tcPr>
            <w:tcW w:w="1313" w:type="dxa"/>
            <w:shd w:val="clear"/>
            <w:vAlign w:val="top"/>
          </w:tcPr>
          <w:p w14:paraId="000000B5">
            <w:pPr>
              <w:keepNext/>
              <w:keepLines/>
              <w:spacing w:before="120" w:after="120"/>
              <w:jc w:val="both"/>
              <w:rPr>
                <w:rFonts w:hint="default"/>
                <w:b/>
                <w:snapToGrid w:val="0"/>
                <w:sz w:val="22"/>
                <w:szCs w:val="22"/>
                <w:lang w:val="tr-TR" w:eastAsia="en-US"/>
              </w:rPr>
            </w:pPr>
            <w:r>
              <w:rPr>
                <w:rFonts w:hint="default"/>
                <w:b/>
                <w:sz w:val="22"/>
                <w:szCs w:val="22"/>
                <w:lang w:val="tr-TR"/>
              </w:rPr>
              <w:t>3</w:t>
            </w:r>
          </w:p>
        </w:tc>
        <w:tc>
          <w:tcPr>
            <w:tcW w:w="2048" w:type="dxa"/>
            <w:shd w:val="clear"/>
            <w:vAlign w:val="top"/>
          </w:tcPr>
          <w:p w14:paraId="000000B6">
            <w:pPr>
              <w:keepNext/>
              <w:keepLines/>
              <w:spacing w:before="120" w:after="120"/>
              <w:jc w:val="both"/>
              <w:rPr>
                <w:rFonts w:hint="default"/>
                <w:snapToGrid w:val="0"/>
                <w:sz w:val="22"/>
                <w:szCs w:val="22"/>
                <w:lang w:val="tr-TR" w:eastAsia="en-US"/>
              </w:rPr>
            </w:pPr>
            <w:r>
              <w:rPr>
                <w:rFonts w:hint="default"/>
                <w:sz w:val="22"/>
                <w:szCs w:val="22"/>
                <w:lang w:val="tr-TR"/>
              </w:rPr>
              <w:t>MY OFIS</w:t>
            </w:r>
          </w:p>
        </w:tc>
        <w:tc>
          <w:tcPr>
            <w:shd w:val="clear"/>
            <w:vAlign w:val="top"/>
          </w:tcPr>
          <w:p w14:paraId="000000B7">
            <w:pPr>
              <w:keepNext/>
              <w:keepLines/>
              <w:spacing w:before="120" w:after="120"/>
              <w:jc w:val="both"/>
              <w:rPr>
                <w:snapToGrid w:val="0"/>
                <w:sz w:val="22"/>
                <w:szCs w:val="22"/>
                <w:lang w:val="fr-FR" w:eastAsia="en-US"/>
              </w:rPr>
            </w:pPr>
            <w:r>
              <w:rPr>
                <w:sz w:val="22"/>
                <w:szCs w:val="22"/>
                <w:rtl w:val="0"/>
              </w:rPr>
              <w:t>N/A</w:t>
            </w:r>
          </w:p>
        </w:tc>
        <w:tc>
          <w:tcPr>
            <w:shd w:val="clear"/>
            <w:vAlign w:val="top"/>
          </w:tcPr>
          <w:p w14:paraId="000000B8">
            <w:pPr>
              <w:keepNext/>
              <w:keepLines/>
              <w:spacing w:before="120" w:after="120"/>
              <w:jc w:val="both"/>
              <w:rPr>
                <w:rFonts w:hint="default"/>
                <w:snapToGrid w:val="0"/>
                <w:sz w:val="22"/>
                <w:szCs w:val="22"/>
                <w:lang w:val="tr-TR" w:eastAsia="en-US"/>
              </w:rPr>
            </w:pPr>
            <w:r>
              <w:rPr>
                <w:rFonts w:hint="default"/>
                <w:sz w:val="22"/>
                <w:szCs w:val="22"/>
                <w:lang w:val="tr-TR"/>
              </w:rPr>
              <w:t xml:space="preserve">330.000 TRY for 1 year </w:t>
            </w:r>
          </w:p>
        </w:tc>
        <w:tc>
          <w:tcPr>
            <w:shd w:val="clear"/>
            <w:vAlign w:val="top"/>
          </w:tcPr>
          <w:p w14:paraId="000000B9">
            <w:pPr>
              <w:keepNext/>
              <w:keepLines/>
              <w:spacing w:before="120" w:after="120"/>
              <w:jc w:val="both"/>
              <w:rPr>
                <w:snapToGrid w:val="0"/>
                <w:sz w:val="22"/>
                <w:szCs w:val="22"/>
                <w:lang w:val="fr-FR" w:eastAsia="en-US"/>
              </w:rPr>
            </w:pPr>
            <w:r>
              <w:rPr>
                <w:rFonts w:hint="default"/>
                <w:sz w:val="22"/>
                <w:szCs w:val="22"/>
                <w:lang w:val="tr-TR"/>
              </w:rPr>
              <w:t xml:space="preserve">330.000 TRY for 1 year </w:t>
            </w:r>
          </w:p>
        </w:tc>
      </w:tr>
    </w:tbl>
    <w:p w14:paraId="1E4090FF">
      <w:pPr>
        <w:spacing w:before="120" w:after="120"/>
        <w:ind w:left="851" w:firstLine="0"/>
        <w:jc w:val="both"/>
        <w:rPr>
          <w:sz w:val="22"/>
          <w:szCs w:val="22"/>
        </w:rPr>
      </w:pPr>
    </w:p>
    <w:p w14:paraId="000000D1">
      <w:pPr>
        <w:jc w:val="both"/>
        <w:rPr>
          <w:b/>
          <w:sz w:val="22"/>
          <w:szCs w:val="22"/>
        </w:rPr>
      </w:pPr>
      <w:r>
        <w:rPr>
          <w:b/>
          <w:sz w:val="22"/>
          <w:szCs w:val="22"/>
          <w:rtl w:val="0"/>
        </w:rPr>
        <w:t>3.4</w:t>
      </w:r>
      <w:r>
        <w:rPr>
          <w:b/>
          <w:sz w:val="22"/>
          <w:szCs w:val="22"/>
          <w:rtl w:val="0"/>
        </w:rPr>
        <w:tab/>
      </w:r>
      <w:r>
        <w:rPr>
          <w:b/>
          <w:sz w:val="22"/>
          <w:szCs w:val="22"/>
          <w:rtl w:val="0"/>
        </w:rPr>
        <w:t>Most economically advantageous tender</w:t>
      </w:r>
    </w:p>
    <w:p w14:paraId="000000D2">
      <w:pPr>
        <w:jc w:val="both"/>
        <w:rPr>
          <w:sz w:val="22"/>
          <w:szCs w:val="22"/>
        </w:rPr>
      </w:pPr>
    </w:p>
    <w:p w14:paraId="000000D3">
      <w:pPr>
        <w:ind w:left="567" w:firstLine="0"/>
        <w:jc w:val="both"/>
        <w:rPr>
          <w:sz w:val="22"/>
          <w:szCs w:val="22"/>
        </w:rPr>
      </w:pPr>
      <w:r>
        <w:rPr>
          <w:sz w:val="22"/>
          <w:szCs w:val="22"/>
          <w:rtl w:val="0"/>
        </w:rPr>
        <w:t>The most economically advantageous tender is the technically compliant tender with the lowest price.</w:t>
      </w:r>
    </w:p>
    <w:p w14:paraId="000000D4">
      <w:pPr>
        <w:ind w:left="720" w:firstLine="0"/>
        <w:jc w:val="both"/>
        <w:rPr>
          <w:sz w:val="22"/>
          <w:szCs w:val="22"/>
        </w:rPr>
      </w:pPr>
    </w:p>
    <w:p w14:paraId="000000D5">
      <w:pPr>
        <w:keepNext/>
        <w:spacing w:before="240" w:after="120"/>
        <w:jc w:val="both"/>
        <w:rPr>
          <w:b/>
        </w:rPr>
      </w:pPr>
      <w:r>
        <w:rPr>
          <w:b/>
          <w:rtl w:val="0"/>
        </w:rPr>
        <w:t>4.</w:t>
      </w:r>
      <w:r>
        <w:rPr>
          <w:b/>
          <w:rtl w:val="0"/>
        </w:rPr>
        <w:tab/>
      </w:r>
      <w:r>
        <w:rPr>
          <w:b/>
          <w:rtl w:val="0"/>
        </w:rPr>
        <w:t>Conclusion</w:t>
      </w:r>
    </w:p>
    <w:p w14:paraId="000000D6">
      <w:pPr>
        <w:ind w:left="567" w:right="424" w:firstLine="0"/>
        <w:jc w:val="both"/>
        <w:rPr>
          <w:b/>
          <w:sz w:val="22"/>
          <w:szCs w:val="22"/>
          <w:u w:val="single"/>
        </w:rPr>
      </w:pPr>
      <w:r>
        <w:rPr>
          <w:b/>
          <w:sz w:val="22"/>
          <w:szCs w:val="22"/>
          <w:u w:val="single"/>
          <w:rtl w:val="0"/>
        </w:rPr>
        <w:t>Correspondence regarding the Declaration on Honour criteria and documentary evidence for exclusion and selection criteria</w:t>
      </w:r>
    </w:p>
    <w:p w14:paraId="000000D7">
      <w:pPr>
        <w:spacing w:before="120" w:after="120"/>
        <w:ind w:left="567" w:right="424" w:firstLine="0"/>
        <w:jc w:val="both"/>
        <w:rPr>
          <w:color w:val="000000"/>
          <w:sz w:val="22"/>
          <w:szCs w:val="22"/>
        </w:rPr>
      </w:pPr>
      <w:r>
        <w:rPr>
          <w:color w:val="000000"/>
          <w:sz w:val="22"/>
          <w:szCs w:val="22"/>
          <w:rtl w:val="0"/>
        </w:rPr>
        <w:t xml:space="preserve">The requirement to submit an </w:t>
      </w:r>
      <w:r>
        <w:rPr>
          <w:b/>
          <w:color w:val="000000"/>
          <w:sz w:val="22"/>
          <w:szCs w:val="22"/>
          <w:u w:val="single"/>
          <w:rtl w:val="0"/>
        </w:rPr>
        <w:t>original</w:t>
      </w:r>
      <w:r>
        <w:rPr>
          <w:color w:val="000000"/>
          <w:sz w:val="22"/>
          <w:szCs w:val="22"/>
          <w:rtl w:val="0"/>
        </w:rPr>
        <w:t xml:space="preserve"> Declaration on Honour on exclusion criteria and selection criteria is only </w:t>
      </w:r>
      <w:r>
        <w:rPr>
          <w:b/>
          <w:color w:val="000000"/>
          <w:sz w:val="22"/>
          <w:szCs w:val="22"/>
          <w:u w:val="single"/>
          <w:rtl w:val="0"/>
        </w:rPr>
        <w:t>applicable</w:t>
      </w:r>
      <w:r>
        <w:rPr>
          <w:color w:val="000000"/>
          <w:sz w:val="22"/>
          <w:szCs w:val="22"/>
          <w:rtl w:val="0"/>
        </w:rPr>
        <w:t xml:space="preserve"> in case of paper submission.</w:t>
      </w:r>
    </w:p>
    <w:p w14:paraId="000000DA">
      <w:pPr>
        <w:spacing w:before="120" w:after="120"/>
        <w:ind w:left="567" w:firstLine="0"/>
        <w:rPr>
          <w:color w:val="000000"/>
          <w:sz w:val="22"/>
          <w:szCs w:val="22"/>
          <w:highlight w:val="yellow"/>
        </w:rPr>
      </w:pPr>
      <w:r>
        <w:rPr>
          <w:color w:val="000000"/>
          <w:sz w:val="22"/>
          <w:szCs w:val="22"/>
          <w:rtl w:val="0"/>
        </w:rPr>
        <w:t xml:space="preserve">Please </w:t>
      </w:r>
      <w:r>
        <w:rPr>
          <w:sz w:val="22"/>
          <w:szCs w:val="22"/>
          <w:rtl w:val="0"/>
        </w:rPr>
        <w:t>send it to Bahçelievler</w:t>
      </w:r>
      <w:r>
        <w:rPr>
          <w:color w:val="000000"/>
          <w:sz w:val="22"/>
          <w:szCs w:val="22"/>
          <w:rtl w:val="0"/>
        </w:rPr>
        <w:t>, 1851/10. Sokak No:3, 35600 Karsiyaka Izmir or/and</w:t>
      </w:r>
      <w:r>
        <w:rPr>
          <w:sz w:val="22"/>
          <w:szCs w:val="22"/>
          <w:rtl w:val="0"/>
        </w:rPr>
        <w:t xml:space="preserve"> </w:t>
      </w:r>
      <w:r>
        <w:rPr>
          <w:color w:val="000000"/>
          <w:sz w:val="22"/>
          <w:szCs w:val="22"/>
          <w:rtl w:val="0"/>
        </w:rPr>
        <w:t>turkiye@redi-ngo.eu</w:t>
      </w:r>
    </w:p>
    <w:p w14:paraId="000000DB">
      <w:pPr>
        <w:spacing w:before="288" w:after="144"/>
        <w:ind w:left="567" w:firstLine="0"/>
        <w:jc w:val="both"/>
        <w:rPr>
          <w:color w:val="000000"/>
          <w:sz w:val="22"/>
          <w:szCs w:val="22"/>
          <w:u w:val="single"/>
        </w:rPr>
      </w:pPr>
      <w:r>
        <w:rPr>
          <w:color w:val="000000"/>
          <w:sz w:val="22"/>
          <w:szCs w:val="22"/>
          <w:rtl w:val="0"/>
        </w:rPr>
        <w:t>1. The Declaration(s) on honour on exclusion criteria and selection criteria.</w:t>
      </w:r>
      <w:r>
        <w:rPr>
          <w:color w:val="000000"/>
          <w:sz w:val="22"/>
          <w:szCs w:val="22"/>
          <w:u w:val="single"/>
          <w:rtl w:val="0"/>
        </w:rPr>
        <w:t xml:space="preserve"> </w:t>
      </w:r>
    </w:p>
    <w:p w14:paraId="000000DC">
      <w:pPr>
        <w:spacing w:before="120"/>
        <w:ind w:left="567" w:firstLine="0"/>
        <w:jc w:val="both"/>
        <w:rPr>
          <w:color w:val="000000"/>
          <w:sz w:val="22"/>
          <w:szCs w:val="22"/>
        </w:rPr>
      </w:pPr>
      <w:r>
        <w:rPr>
          <w:color w:val="000000"/>
          <w:sz w:val="22"/>
          <w:szCs w:val="22"/>
          <w:rtl w:val="0"/>
        </w:rPr>
        <w:t xml:space="preserve">Please submit the original Declaration(s) </w:t>
      </w:r>
      <w:r>
        <w:rPr>
          <w:sz w:val="22"/>
          <w:szCs w:val="22"/>
          <w:rtl w:val="0"/>
        </w:rPr>
        <w:t>On honour</w:t>
      </w:r>
      <w:r>
        <w:rPr>
          <w:color w:val="000000"/>
          <w:sz w:val="22"/>
          <w:szCs w:val="22"/>
          <w:rtl w:val="0"/>
        </w:rPr>
        <w:t xml:space="preserve">, a copy of which has been submitted by you with the tender form. The original signed Declaration(s) on honour should be submitted for every member of the consortium and any capacity providing entity or subcontractor (if applicable). Please use a reliable courier service or registered mail to avoid any delays or loss of the documents. The envelope, clearly mentioning the reference of the call for tenders and, if applicable, the e-Submission ID of the tender must be marked as "CALL FOR TENDERS – NOT TO BE OPENED BY THE INTERNAL MAIL DEPARTMENT". </w:t>
      </w:r>
    </w:p>
    <w:p w14:paraId="000000DD">
      <w:pPr>
        <w:spacing w:before="120" w:after="120"/>
        <w:ind w:left="567" w:firstLine="0"/>
        <w:jc w:val="both"/>
        <w:rPr>
          <w:sz w:val="22"/>
          <w:szCs w:val="22"/>
        </w:rPr>
      </w:pPr>
      <w:r>
        <w:rPr>
          <w:b/>
          <w:sz w:val="22"/>
          <w:szCs w:val="22"/>
          <w:rtl w:val="0"/>
        </w:rPr>
        <w:t>Documentary evidence on</w:t>
      </w:r>
      <w:r>
        <w:rPr>
          <w:sz w:val="22"/>
          <w:szCs w:val="22"/>
          <w:rtl w:val="0"/>
        </w:rPr>
        <w:t xml:space="preserve"> </w:t>
      </w:r>
      <w:r>
        <w:rPr>
          <w:b/>
          <w:sz w:val="22"/>
          <w:szCs w:val="22"/>
          <w:rtl w:val="0"/>
        </w:rPr>
        <w:t xml:space="preserve">exclusion criteria </w:t>
      </w:r>
      <w:r>
        <w:rPr>
          <w:sz w:val="22"/>
          <w:szCs w:val="22"/>
          <w:rtl w:val="0"/>
        </w:rPr>
        <w:t>For tender procedures below EUR 300 000, the contracting authority may, if it has doubts about whether the tenderer to whom the contract is to be awarded is in one of the situations leading to exclusion, require the tenderer to provide the evidence on exclusion criteria.</w:t>
      </w:r>
    </w:p>
    <w:p w14:paraId="000000DE">
      <w:pPr>
        <w:spacing w:before="120" w:after="120"/>
        <w:ind w:left="567" w:firstLine="0"/>
        <w:jc w:val="both"/>
        <w:rPr>
          <w:sz w:val="22"/>
          <w:szCs w:val="22"/>
        </w:rPr>
      </w:pPr>
      <w:bookmarkStart w:id="3" w:name="_heading=h.p2afd8dxy3lj" w:colFirst="0" w:colLast="0"/>
      <w:bookmarkEnd w:id="3"/>
      <w:r>
        <w:rPr>
          <w:sz w:val="22"/>
          <w:szCs w:val="22"/>
          <w:rtl w:val="0"/>
        </w:rPr>
        <w:t xml:space="preserve">2. </w:t>
      </w:r>
      <w:r>
        <w:rPr>
          <w:sz w:val="22"/>
          <w:szCs w:val="22"/>
          <w:highlight w:val="yellow"/>
          <w:u w:val="single"/>
          <w:rtl w:val="0"/>
        </w:rPr>
        <w:t>D</w:t>
      </w:r>
      <w:r>
        <w:rPr>
          <w:color w:val="000000"/>
          <w:sz w:val="22"/>
          <w:szCs w:val="22"/>
          <w:highlight w:val="yellow"/>
          <w:u w:val="single"/>
          <w:rtl w:val="0"/>
        </w:rPr>
        <w:t>ocumentary evidence for the exclusion criteria</w:t>
      </w:r>
      <w:r>
        <w:rPr>
          <w:color w:val="000000"/>
          <w:sz w:val="22"/>
          <w:szCs w:val="22"/>
          <w:highlight w:val="yellow"/>
          <w:rtl w:val="0"/>
        </w:rPr>
        <w:t>. </w:t>
      </w:r>
      <w:r>
        <w:rPr>
          <w:color w:val="000000"/>
          <w:sz w:val="22"/>
          <w:szCs w:val="22"/>
          <w:highlight w:val="white"/>
          <w:rtl w:val="0"/>
        </w:rPr>
        <w:t xml:space="preserve">Please send by email or </w:t>
      </w:r>
      <w:r>
        <w:rPr>
          <w:color w:val="000000"/>
          <w:sz w:val="22"/>
          <w:szCs w:val="22"/>
          <w:rtl w:val="0"/>
        </w:rPr>
        <w:t>by courier service or registered mail</w:t>
      </w:r>
      <w:r>
        <w:rPr>
          <w:color w:val="000000"/>
          <w:sz w:val="22"/>
          <w:szCs w:val="22"/>
          <w:vertAlign w:val="superscript"/>
        </w:rPr>
        <w:footnoteReference w:id="0"/>
      </w:r>
      <w:r>
        <w:rPr>
          <w:color w:val="000000"/>
          <w:sz w:val="22"/>
          <w:szCs w:val="22"/>
          <w:rtl w:val="0"/>
        </w:rPr>
        <w:t xml:space="preserve"> </w:t>
      </w:r>
      <w:r>
        <w:rPr>
          <w:color w:val="000000"/>
          <w:sz w:val="22"/>
          <w:szCs w:val="22"/>
          <w:highlight w:val="white"/>
          <w:rtl w:val="0"/>
        </w:rPr>
        <w:t xml:space="preserve">the documentary evidence demonstrating that you do not fall into any of the exclusion situations listed in Section 2.6.10.1.1. of the Practical Guide. Examples of the admissible supporting documents are provided in Section 2.6.10.1.3. of the Practical Guide. The admissible proof or statement should be under the law of the country in which you (including all consortium members, as well as subcontractors and capacity providing entities, if applicable) are established in accordance with the undertaking in the declaration(s) which was included in your tender. The date on the evidence or documents provided must be no earlier than 1 year before the date of submission of the tender. </w:t>
      </w:r>
      <w:r>
        <w:rPr>
          <w:rFonts w:hint="default"/>
          <w:color w:val="000000"/>
          <w:sz w:val="22"/>
          <w:szCs w:val="22"/>
          <w:highlight w:val="white"/>
          <w:rtl w:val="0"/>
          <w:lang w:val="tr-TR"/>
        </w:rPr>
        <w:t>Your firm</w:t>
      </w:r>
      <w:r>
        <w:rPr>
          <w:color w:val="000000"/>
          <w:sz w:val="22"/>
          <w:szCs w:val="22"/>
          <w:highlight w:val="white"/>
          <w:rtl w:val="0"/>
        </w:rPr>
        <w:t xml:space="preserve"> must, in addition, provide a statement that the situation has not been altered in the period that has elapsed since the evidence in question was drawn up.</w:t>
      </w:r>
      <w:r>
        <w:rPr>
          <w:color w:val="000000"/>
          <w:sz w:val="20"/>
          <w:szCs w:val="20"/>
          <w:highlight w:val="white"/>
          <w:rtl w:val="0"/>
        </w:rPr>
        <w:t> </w:t>
      </w:r>
      <w:r>
        <w:rPr>
          <w:sz w:val="22"/>
          <w:szCs w:val="22"/>
          <w:rtl w:val="0"/>
        </w:rPr>
        <w:t xml:space="preserve"> </w:t>
      </w:r>
    </w:p>
    <w:p w14:paraId="000000E8">
      <w:pPr>
        <w:spacing w:after="120"/>
        <w:ind w:left="567" w:firstLine="0"/>
        <w:jc w:val="both"/>
        <w:rPr>
          <w:sz w:val="22"/>
          <w:szCs w:val="22"/>
        </w:rPr>
      </w:pPr>
      <w:r>
        <w:rPr>
          <w:color w:val="000000"/>
          <w:sz w:val="22"/>
          <w:szCs w:val="22"/>
          <w:rtl w:val="0"/>
        </w:rPr>
        <w:t xml:space="preserve">The original (if applicable) signed declaration(s) on honour on exclusion and selection criteria for the tender with the highest overall scores, including the declarations of every member of the consortium and any capacity providing entity (if applicable), and documentary evidence on compliance with exclusion and selection criteria were submitted on </w:t>
      </w:r>
      <w:r>
        <w:rPr>
          <w:rFonts w:hint="default"/>
          <w:color w:val="000000"/>
          <w:sz w:val="22"/>
          <w:szCs w:val="22"/>
          <w:rtl w:val="0"/>
          <w:lang w:val="tr-TR"/>
        </w:rPr>
        <w:t>...............................</w:t>
      </w:r>
    </w:p>
    <w:p w14:paraId="000000E9">
      <w:pPr>
        <w:spacing w:before="120" w:after="120"/>
        <w:ind w:left="567" w:right="-29" w:firstLine="0"/>
        <w:rPr>
          <w:sz w:val="22"/>
          <w:szCs w:val="22"/>
        </w:rPr>
      </w:pPr>
      <w:r>
        <w:rPr>
          <w:sz w:val="22"/>
          <w:szCs w:val="22"/>
          <w:rtl w:val="0"/>
        </w:rPr>
        <w:t>The evaluation committee verified the documentary evidence for exclusion and selection criteria for the</w:t>
      </w:r>
      <w:r>
        <w:rPr>
          <w:rtl w:val="0"/>
        </w:rPr>
        <w:t xml:space="preserve"> </w:t>
      </w:r>
      <w:r>
        <w:rPr>
          <w:sz w:val="22"/>
          <w:szCs w:val="22"/>
          <w:rtl w:val="0"/>
        </w:rPr>
        <w:t>tenderer offering the most economically advantageous tender and the documents were found [</w:t>
      </w:r>
      <w:r>
        <w:rPr>
          <w:sz w:val="22"/>
          <w:szCs w:val="22"/>
          <w:highlight w:val="lightGray"/>
          <w:rtl w:val="0"/>
        </w:rPr>
        <w:t>admissible] [not admissible</w:t>
      </w:r>
      <w:r>
        <w:rPr>
          <w:sz w:val="22"/>
          <w:szCs w:val="22"/>
          <w:rtl w:val="0"/>
        </w:rPr>
        <w:t xml:space="preserve">]. </w:t>
      </w:r>
    </w:p>
    <w:p w14:paraId="000000EB">
      <w:pPr>
        <w:spacing w:before="120" w:after="120"/>
        <w:ind w:left="567" w:right="-29" w:firstLine="0"/>
        <w:jc w:val="both"/>
        <w:rPr>
          <w:sz w:val="22"/>
          <w:szCs w:val="22"/>
        </w:rPr>
      </w:pPr>
      <w:r>
        <w:rPr>
          <w:sz w:val="22"/>
          <w:szCs w:val="22"/>
          <w:rtl w:val="0"/>
        </w:rPr>
        <w:t>The evaluation committee has ensured that the recommended tenderer or the members in the consortium are not in a situation of exclusion in the early detection and exclusion system. In indirect management if the contracting authority does not have access to the early detection and exclusion system this has to be verified with the representative of the European Commission.</w:t>
      </w:r>
    </w:p>
    <w:p w14:paraId="000000EC">
      <w:pPr>
        <w:ind w:left="567" w:right="424" w:firstLine="0"/>
        <w:jc w:val="both"/>
        <w:rPr>
          <w:sz w:val="22"/>
          <w:szCs w:val="22"/>
        </w:rPr>
      </w:pPr>
      <w:r>
        <w:rPr>
          <w:sz w:val="22"/>
          <w:szCs w:val="22"/>
          <w:rtl w:val="0"/>
        </w:rPr>
        <w:t>The evaluation committee has ensured that there is no detection of a recommended tenderer or members in the consortium in the lists of EU restrictive measures</w:t>
      </w:r>
      <w:r>
        <w:rPr>
          <w:sz w:val="22"/>
          <w:szCs w:val="22"/>
          <w:vertAlign w:val="superscript"/>
        </w:rPr>
        <w:footnoteReference w:id="1"/>
      </w:r>
      <w:r>
        <w:rPr>
          <w:sz w:val="22"/>
          <w:szCs w:val="22"/>
          <w:rtl w:val="0"/>
        </w:rPr>
        <w:t>.</w:t>
      </w:r>
    </w:p>
    <w:p w14:paraId="000000ED">
      <w:pPr>
        <w:ind w:left="567" w:firstLine="0"/>
        <w:jc w:val="both"/>
        <w:rPr>
          <w:sz w:val="22"/>
          <w:szCs w:val="22"/>
        </w:rPr>
      </w:pPr>
    </w:p>
    <w:p w14:paraId="000000EE">
      <w:pPr>
        <w:keepNext/>
        <w:spacing w:before="120" w:after="120"/>
        <w:ind w:left="567" w:firstLine="0"/>
        <w:jc w:val="both"/>
        <w:rPr>
          <w:sz w:val="22"/>
          <w:szCs w:val="22"/>
        </w:rPr>
      </w:pPr>
      <w:r>
        <w:rPr>
          <w:sz w:val="22"/>
          <w:szCs w:val="22"/>
          <w:rtl w:val="0"/>
        </w:rPr>
        <w:t>Consequently, the evaluation committee recommends that the contract[s] [</w:t>
      </w:r>
      <w:r>
        <w:rPr>
          <w:sz w:val="22"/>
          <w:szCs w:val="22"/>
          <w:highlight w:val="lightGray"/>
          <w:rtl w:val="0"/>
        </w:rPr>
        <w:t>is</w:t>
      </w:r>
      <w:r>
        <w:rPr>
          <w:sz w:val="22"/>
          <w:szCs w:val="22"/>
          <w:rtl w:val="0"/>
        </w:rPr>
        <w:t>] [</w:t>
      </w:r>
      <w:r>
        <w:rPr>
          <w:sz w:val="22"/>
          <w:szCs w:val="22"/>
          <w:highlight w:val="lightGray"/>
          <w:rtl w:val="0"/>
        </w:rPr>
        <w:t>are</w:t>
      </w:r>
      <w:r>
        <w:rPr>
          <w:sz w:val="22"/>
          <w:szCs w:val="22"/>
          <w:rtl w:val="0"/>
        </w:rPr>
        <w:t>] awarded as follows:</w:t>
      </w:r>
    </w:p>
    <w:tbl>
      <w:tblPr>
        <w:tblStyle w:val="51"/>
        <w:tblW w:w="9923"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134"/>
        <w:gridCol w:w="1248"/>
        <w:gridCol w:w="2268"/>
        <w:gridCol w:w="2013"/>
        <w:gridCol w:w="1559"/>
        <w:gridCol w:w="1701"/>
      </w:tblGrid>
      <w:tr w14:paraId="044C7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blHeader/>
        </w:trPr>
        <w:tc>
          <w:tcPr>
            <w:shd w:val="clear" w:color="auto" w:fill="E6E6E6"/>
          </w:tcPr>
          <w:p w14:paraId="000000EF">
            <w:pPr>
              <w:keepNext/>
              <w:spacing w:before="120" w:after="120"/>
              <w:jc w:val="center"/>
              <w:rPr>
                <w:b/>
                <w:sz w:val="22"/>
                <w:szCs w:val="22"/>
              </w:rPr>
            </w:pPr>
            <w:r>
              <w:rPr>
                <w:b/>
                <w:sz w:val="22"/>
                <w:szCs w:val="22"/>
                <w:highlight w:val="lightGray"/>
                <w:rtl w:val="0"/>
              </w:rPr>
              <w:t>Lot number</w:t>
            </w:r>
          </w:p>
        </w:tc>
        <w:tc>
          <w:tcPr>
            <w:shd w:val="clear" w:color="auto" w:fill="E6E6E6"/>
          </w:tcPr>
          <w:p w14:paraId="000000F0">
            <w:pPr>
              <w:keepNext/>
              <w:spacing w:before="120" w:after="120"/>
              <w:jc w:val="center"/>
              <w:rPr>
                <w:b/>
                <w:sz w:val="22"/>
                <w:szCs w:val="22"/>
              </w:rPr>
            </w:pPr>
            <w:r>
              <w:rPr>
                <w:b/>
                <w:sz w:val="22"/>
                <w:szCs w:val="22"/>
                <w:rtl w:val="0"/>
              </w:rPr>
              <w:t>Tender No</w:t>
            </w:r>
          </w:p>
        </w:tc>
        <w:tc>
          <w:tcPr>
            <w:shd w:val="clear" w:color="auto" w:fill="E6E6E6"/>
          </w:tcPr>
          <w:p w14:paraId="000000F1">
            <w:pPr>
              <w:keepNext/>
              <w:spacing w:before="120" w:after="120"/>
              <w:jc w:val="center"/>
              <w:rPr>
                <w:b/>
                <w:sz w:val="22"/>
                <w:szCs w:val="22"/>
              </w:rPr>
            </w:pPr>
            <w:r>
              <w:rPr>
                <w:b/>
                <w:sz w:val="22"/>
                <w:szCs w:val="22"/>
                <w:rtl w:val="0"/>
              </w:rPr>
              <w:t>Tenderer name</w:t>
            </w:r>
          </w:p>
        </w:tc>
        <w:tc>
          <w:tcPr>
            <w:shd w:val="clear" w:color="auto" w:fill="E6E6E6"/>
          </w:tcPr>
          <w:p w14:paraId="000000F2">
            <w:pPr>
              <w:keepNext/>
              <w:spacing w:before="120" w:after="120"/>
              <w:jc w:val="center"/>
              <w:rPr>
                <w:b/>
                <w:sz w:val="22"/>
                <w:szCs w:val="22"/>
              </w:rPr>
            </w:pPr>
            <w:r>
              <w:rPr>
                <w:b/>
                <w:sz w:val="22"/>
                <w:szCs w:val="22"/>
                <w:rtl w:val="0"/>
              </w:rPr>
              <w:t>Financial offer</w:t>
            </w:r>
            <w:r>
              <w:rPr>
                <w:b/>
                <w:sz w:val="22"/>
                <w:szCs w:val="22"/>
                <w:rtl w:val="0"/>
              </w:rPr>
              <w:br w:type="textWrapping"/>
            </w:r>
            <w:r>
              <w:rPr>
                <w:sz w:val="22"/>
                <w:szCs w:val="22"/>
                <w:rtl w:val="0"/>
              </w:rPr>
              <w:br w:type="textWrapping"/>
            </w:r>
            <w:r>
              <w:rPr>
                <w:b/>
                <w:sz w:val="22"/>
                <w:szCs w:val="22"/>
                <w:rtl w:val="0"/>
              </w:rPr>
              <w:t>TRY</w:t>
            </w:r>
          </w:p>
        </w:tc>
        <w:tc>
          <w:tcPr>
            <w:shd w:val="clear" w:color="auto" w:fill="E6E6E6"/>
          </w:tcPr>
          <w:p w14:paraId="000000F3">
            <w:pPr>
              <w:keepNext/>
              <w:spacing w:before="120" w:after="120"/>
              <w:jc w:val="center"/>
              <w:rPr>
                <w:b/>
                <w:sz w:val="22"/>
                <w:szCs w:val="22"/>
              </w:rPr>
            </w:pPr>
            <w:r>
              <w:rPr>
                <w:b/>
                <w:sz w:val="22"/>
                <w:szCs w:val="22"/>
                <w:rtl w:val="0"/>
              </w:rPr>
              <w:t>[</w:t>
            </w:r>
            <w:r>
              <w:rPr>
                <w:b/>
                <w:sz w:val="22"/>
                <w:szCs w:val="22"/>
                <w:highlight w:val="lightGray"/>
                <w:rtl w:val="0"/>
              </w:rPr>
              <w:t>Spare parts and/or consumables</w:t>
            </w:r>
            <w:r>
              <w:rPr>
                <w:b/>
                <w:sz w:val="22"/>
                <w:szCs w:val="22"/>
                <w:rtl w:val="0"/>
              </w:rPr>
              <w:t>]</w:t>
            </w:r>
            <w:r>
              <w:rPr>
                <w:b/>
                <w:sz w:val="22"/>
                <w:szCs w:val="22"/>
                <w:rtl w:val="0"/>
              </w:rPr>
              <w:br w:type="textWrapping"/>
            </w:r>
            <w:r>
              <w:rPr>
                <w:sz w:val="22"/>
                <w:szCs w:val="22"/>
                <w:rtl w:val="0"/>
              </w:rPr>
              <w:br w:type="textWrapping"/>
            </w:r>
            <w:r>
              <w:rPr>
                <w:b/>
                <w:sz w:val="22"/>
                <w:szCs w:val="22"/>
                <w:rtl w:val="0"/>
              </w:rPr>
              <w:t>TRY</w:t>
            </w:r>
          </w:p>
        </w:tc>
        <w:tc>
          <w:tcPr>
            <w:shd w:val="clear" w:color="auto" w:fill="E6E6E6"/>
          </w:tcPr>
          <w:p w14:paraId="000000F4">
            <w:pPr>
              <w:keepNext/>
              <w:spacing w:before="120" w:after="120"/>
              <w:jc w:val="center"/>
              <w:rPr>
                <w:b/>
                <w:sz w:val="22"/>
                <w:szCs w:val="22"/>
              </w:rPr>
            </w:pPr>
            <w:r>
              <w:rPr>
                <w:b/>
                <w:sz w:val="22"/>
                <w:szCs w:val="22"/>
                <w:rtl w:val="0"/>
              </w:rPr>
              <w:t>Contract value</w:t>
            </w:r>
            <w:r>
              <w:rPr>
                <w:b/>
                <w:sz w:val="22"/>
                <w:szCs w:val="22"/>
                <w:rtl w:val="0"/>
              </w:rPr>
              <w:br w:type="textWrapping"/>
            </w:r>
            <w:r>
              <w:rPr>
                <w:sz w:val="22"/>
                <w:szCs w:val="22"/>
                <w:rtl w:val="0"/>
              </w:rPr>
              <w:br w:type="textWrapping"/>
            </w:r>
            <w:r>
              <w:rPr>
                <w:b/>
                <w:sz w:val="22"/>
                <w:szCs w:val="22"/>
                <w:rtl w:val="0"/>
              </w:rPr>
              <w:t>TRY</w:t>
            </w:r>
          </w:p>
        </w:tc>
      </w:tr>
      <w:tr w14:paraId="360E76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p w14:paraId="000000F5">
            <w:pPr>
              <w:spacing w:before="120" w:after="120"/>
              <w:jc w:val="both"/>
              <w:rPr>
                <w:rFonts w:hint="default"/>
                <w:b/>
                <w:sz w:val="22"/>
                <w:szCs w:val="22"/>
                <w:lang w:val="tr-TR"/>
              </w:rPr>
            </w:pPr>
            <w:r>
              <w:rPr>
                <w:rFonts w:hint="default"/>
                <w:b/>
                <w:sz w:val="22"/>
                <w:szCs w:val="22"/>
                <w:lang w:val="tr-TR"/>
              </w:rPr>
              <w:t>N/A</w:t>
            </w:r>
          </w:p>
        </w:tc>
        <w:tc>
          <w:p w14:paraId="000000F6">
            <w:pPr>
              <w:spacing w:before="120" w:after="120"/>
              <w:jc w:val="both"/>
              <w:rPr>
                <w:rFonts w:hint="default"/>
                <w:b/>
                <w:sz w:val="22"/>
                <w:szCs w:val="22"/>
                <w:lang w:val="tr-TR"/>
              </w:rPr>
            </w:pPr>
            <w:r>
              <w:rPr>
                <w:rFonts w:hint="default"/>
                <w:b/>
                <w:sz w:val="22"/>
                <w:szCs w:val="22"/>
                <w:lang w:val="tr-TR"/>
              </w:rPr>
              <w:t>3</w:t>
            </w:r>
          </w:p>
        </w:tc>
        <w:tc>
          <w:p w14:paraId="000000F7">
            <w:pPr>
              <w:spacing w:before="120" w:after="120"/>
              <w:jc w:val="both"/>
              <w:rPr>
                <w:rFonts w:hint="default"/>
                <w:sz w:val="22"/>
                <w:szCs w:val="22"/>
                <w:lang w:val="tr-TR"/>
              </w:rPr>
            </w:pPr>
            <w:r>
              <w:rPr>
                <w:rFonts w:hint="default"/>
                <w:sz w:val="22"/>
                <w:szCs w:val="22"/>
                <w:lang w:val="tr-TR"/>
              </w:rPr>
              <w:t>MY OFIS</w:t>
            </w:r>
          </w:p>
        </w:tc>
        <w:tc>
          <w:p w14:paraId="000000F8">
            <w:pPr>
              <w:spacing w:before="120" w:after="120"/>
              <w:jc w:val="both"/>
              <w:rPr>
                <w:sz w:val="22"/>
                <w:szCs w:val="22"/>
              </w:rPr>
            </w:pPr>
          </w:p>
        </w:tc>
        <w:tc>
          <w:p w14:paraId="000000F9">
            <w:pPr>
              <w:spacing w:before="120" w:after="120"/>
              <w:jc w:val="both"/>
              <w:rPr>
                <w:sz w:val="22"/>
                <w:szCs w:val="22"/>
              </w:rPr>
            </w:pPr>
          </w:p>
        </w:tc>
        <w:tc>
          <w:p w14:paraId="000000FA">
            <w:pPr>
              <w:spacing w:before="120" w:after="120"/>
              <w:jc w:val="both"/>
              <w:rPr>
                <w:sz w:val="22"/>
                <w:szCs w:val="22"/>
              </w:rPr>
            </w:pPr>
          </w:p>
        </w:tc>
      </w:tr>
      <w:tr w14:paraId="04D7B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p w14:paraId="000000FB">
            <w:pPr>
              <w:spacing w:before="120" w:after="120"/>
              <w:jc w:val="both"/>
              <w:rPr>
                <w:b/>
                <w:sz w:val="22"/>
                <w:szCs w:val="22"/>
              </w:rPr>
            </w:pPr>
          </w:p>
        </w:tc>
        <w:tc>
          <w:p w14:paraId="000000FC">
            <w:pPr>
              <w:spacing w:before="120" w:after="120"/>
              <w:jc w:val="both"/>
              <w:rPr>
                <w:b/>
                <w:sz w:val="22"/>
                <w:szCs w:val="22"/>
              </w:rPr>
            </w:pPr>
          </w:p>
        </w:tc>
        <w:tc>
          <w:p w14:paraId="000000FD">
            <w:pPr>
              <w:spacing w:before="120" w:after="120"/>
              <w:jc w:val="both"/>
              <w:rPr>
                <w:sz w:val="22"/>
                <w:szCs w:val="22"/>
              </w:rPr>
            </w:pPr>
          </w:p>
        </w:tc>
        <w:tc>
          <w:p w14:paraId="000000FE">
            <w:pPr>
              <w:spacing w:before="120" w:after="120"/>
              <w:jc w:val="both"/>
              <w:rPr>
                <w:sz w:val="22"/>
                <w:szCs w:val="22"/>
              </w:rPr>
            </w:pPr>
          </w:p>
        </w:tc>
        <w:tc>
          <w:p w14:paraId="000000FF">
            <w:pPr>
              <w:spacing w:before="120" w:after="120"/>
              <w:jc w:val="both"/>
              <w:rPr>
                <w:sz w:val="22"/>
                <w:szCs w:val="22"/>
              </w:rPr>
            </w:pPr>
          </w:p>
        </w:tc>
        <w:tc>
          <w:p w14:paraId="00000100">
            <w:pPr>
              <w:spacing w:before="120" w:after="120"/>
              <w:jc w:val="both"/>
              <w:rPr>
                <w:sz w:val="22"/>
                <w:szCs w:val="22"/>
              </w:rPr>
            </w:pPr>
          </w:p>
        </w:tc>
      </w:tr>
    </w:tbl>
    <w:p w14:paraId="00000101">
      <w:pPr>
        <w:keepNext/>
        <w:keepLines/>
        <w:rPr>
          <w:b/>
        </w:rPr>
      </w:pPr>
    </w:p>
    <w:p w14:paraId="00000102">
      <w:pPr>
        <w:keepNext/>
        <w:keepLines/>
        <w:rPr>
          <w:b/>
        </w:rPr>
      </w:pPr>
    </w:p>
    <w:p w14:paraId="00000103">
      <w:pPr>
        <w:keepNext/>
        <w:keepLines/>
        <w:rPr>
          <w:b/>
        </w:rPr>
      </w:pPr>
      <w:r>
        <w:rPr>
          <w:b/>
          <w:rtl w:val="0"/>
        </w:rPr>
        <w:t>5.</w:t>
      </w:r>
      <w:r>
        <w:rPr>
          <w:b/>
          <w:rtl w:val="0"/>
        </w:rPr>
        <w:tab/>
      </w:r>
      <w:r>
        <w:rPr>
          <w:b/>
          <w:rtl w:val="0"/>
        </w:rPr>
        <w:t>Signatures</w:t>
      </w:r>
    </w:p>
    <w:p w14:paraId="00000104">
      <w:pPr>
        <w:keepNext/>
        <w:keepLines/>
        <w:ind w:hanging="33"/>
        <w:jc w:val="both"/>
        <w:rPr>
          <w:sz w:val="22"/>
          <w:szCs w:val="22"/>
        </w:rPr>
      </w:pPr>
    </w:p>
    <w:tbl>
      <w:tblPr>
        <w:tblStyle w:val="52"/>
        <w:tblW w:w="8534" w:type="dxa"/>
        <w:tblInd w:w="81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43"/>
        <w:gridCol w:w="2864"/>
        <w:gridCol w:w="3827"/>
      </w:tblGrid>
      <w:tr w14:paraId="7EECD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p w14:paraId="00000105">
            <w:pPr>
              <w:keepNext/>
              <w:keepLines/>
              <w:spacing w:before="120" w:after="120"/>
              <w:jc w:val="center"/>
              <w:rPr>
                <w:b/>
                <w:sz w:val="22"/>
                <w:szCs w:val="22"/>
              </w:rPr>
            </w:pPr>
          </w:p>
        </w:tc>
        <w:tc>
          <w:p w14:paraId="00000106">
            <w:pPr>
              <w:keepNext/>
              <w:keepLines/>
              <w:spacing w:before="120" w:after="120"/>
              <w:jc w:val="center"/>
              <w:rPr>
                <w:b/>
                <w:sz w:val="22"/>
                <w:szCs w:val="22"/>
              </w:rPr>
            </w:pPr>
            <w:r>
              <w:rPr>
                <w:b/>
                <w:sz w:val="22"/>
                <w:szCs w:val="22"/>
                <w:rtl w:val="0"/>
              </w:rPr>
              <w:t>Name</w:t>
            </w:r>
          </w:p>
        </w:tc>
        <w:tc>
          <w:p w14:paraId="00000107">
            <w:pPr>
              <w:keepNext/>
              <w:keepLines/>
              <w:spacing w:before="120" w:after="120"/>
              <w:jc w:val="center"/>
              <w:rPr>
                <w:b/>
                <w:sz w:val="22"/>
                <w:szCs w:val="22"/>
              </w:rPr>
            </w:pPr>
            <w:r>
              <w:rPr>
                <w:b/>
                <w:sz w:val="22"/>
                <w:szCs w:val="22"/>
                <w:rtl w:val="0"/>
              </w:rPr>
              <w:t>Signature</w:t>
            </w:r>
          </w:p>
        </w:tc>
      </w:tr>
      <w:tr w14:paraId="4747C0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p w14:paraId="00000108">
            <w:pPr>
              <w:keepNext/>
              <w:keepLines/>
              <w:spacing w:before="120" w:after="120"/>
              <w:jc w:val="both"/>
              <w:rPr>
                <w:b/>
                <w:sz w:val="22"/>
                <w:szCs w:val="22"/>
              </w:rPr>
            </w:pPr>
            <w:r>
              <w:rPr>
                <w:b/>
                <w:sz w:val="22"/>
                <w:szCs w:val="22"/>
                <w:rtl w:val="0"/>
              </w:rPr>
              <w:t>Chairperson</w:t>
            </w:r>
          </w:p>
        </w:tc>
        <w:tc>
          <w:p w14:paraId="00000109">
            <w:pPr>
              <w:keepNext/>
              <w:keepLines/>
              <w:jc w:val="both"/>
              <w:rPr>
                <w:sz w:val="22"/>
                <w:szCs w:val="22"/>
              </w:rPr>
            </w:pPr>
            <w:r>
              <w:rPr>
                <w:sz w:val="22"/>
                <w:szCs w:val="22"/>
                <w:rtl w:val="0"/>
              </w:rPr>
              <w:t>SELÇUK KARADENİZ</w:t>
            </w:r>
          </w:p>
        </w:tc>
        <w:tc>
          <w:p w14:paraId="0000010A">
            <w:pPr>
              <w:keepNext/>
              <w:keepLines/>
              <w:jc w:val="both"/>
              <w:rPr>
                <w:sz w:val="22"/>
                <w:szCs w:val="22"/>
              </w:rPr>
            </w:pPr>
          </w:p>
        </w:tc>
      </w:tr>
      <w:tr w14:paraId="72815F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p w14:paraId="0000010B">
            <w:pPr>
              <w:keepNext/>
              <w:keepLines/>
              <w:spacing w:before="120" w:after="120"/>
              <w:jc w:val="both"/>
              <w:rPr>
                <w:b/>
                <w:sz w:val="22"/>
                <w:szCs w:val="22"/>
              </w:rPr>
            </w:pPr>
            <w:r>
              <w:rPr>
                <w:b/>
                <w:sz w:val="22"/>
                <w:szCs w:val="22"/>
                <w:rtl w:val="0"/>
              </w:rPr>
              <w:t>Secretary</w:t>
            </w:r>
          </w:p>
        </w:tc>
        <w:tc>
          <w:p w14:paraId="0000010C">
            <w:pPr>
              <w:keepNext/>
              <w:keepLines/>
              <w:jc w:val="both"/>
              <w:rPr>
                <w:sz w:val="22"/>
                <w:szCs w:val="22"/>
              </w:rPr>
            </w:pPr>
            <w:r>
              <w:rPr>
                <w:sz w:val="22"/>
                <w:szCs w:val="22"/>
                <w:rtl w:val="0"/>
              </w:rPr>
              <w:t>DİLARA ÇAKIR</w:t>
            </w:r>
          </w:p>
        </w:tc>
        <w:tc>
          <w:p w14:paraId="0000010D">
            <w:pPr>
              <w:keepNext/>
              <w:keepLines/>
              <w:jc w:val="both"/>
              <w:rPr>
                <w:sz w:val="22"/>
                <w:szCs w:val="22"/>
              </w:rPr>
            </w:pPr>
          </w:p>
        </w:tc>
      </w:tr>
      <w:tr w14:paraId="6E23B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cantSplit/>
        </w:trPr>
        <w:tc>
          <w:p w14:paraId="0000010E">
            <w:pPr>
              <w:keepNext/>
              <w:keepLines/>
              <w:spacing w:before="120" w:after="120"/>
              <w:jc w:val="both"/>
              <w:rPr>
                <w:b/>
                <w:sz w:val="22"/>
                <w:szCs w:val="22"/>
              </w:rPr>
            </w:pPr>
            <w:r>
              <w:rPr>
                <w:b/>
                <w:sz w:val="22"/>
                <w:szCs w:val="22"/>
                <w:rtl w:val="0"/>
              </w:rPr>
              <w:t>Evaluators</w:t>
            </w:r>
          </w:p>
        </w:tc>
        <w:tc>
          <w:p w14:paraId="0000010F">
            <w:pPr>
              <w:keepNext/>
              <w:keepLines/>
              <w:jc w:val="both"/>
              <w:rPr>
                <w:sz w:val="22"/>
                <w:szCs w:val="22"/>
              </w:rPr>
            </w:pPr>
            <w:r>
              <w:rPr>
                <w:sz w:val="22"/>
                <w:szCs w:val="22"/>
                <w:rtl w:val="0"/>
              </w:rPr>
              <w:t>NECMETTİN TETİK</w:t>
            </w:r>
          </w:p>
        </w:tc>
        <w:tc>
          <w:p w14:paraId="00000110">
            <w:pPr>
              <w:keepNext/>
              <w:keepLines/>
              <w:jc w:val="both"/>
              <w:rPr>
                <w:sz w:val="22"/>
                <w:szCs w:val="22"/>
              </w:rPr>
            </w:pPr>
          </w:p>
        </w:tc>
      </w:tr>
    </w:tbl>
    <w:p w14:paraId="00000117">
      <w:pPr>
        <w:keepNext/>
        <w:keepLines/>
        <w:ind w:hanging="33"/>
        <w:jc w:val="both"/>
        <w:rPr>
          <w:sz w:val="22"/>
          <w:szCs w:val="22"/>
        </w:rPr>
      </w:pPr>
    </w:p>
    <w:p w14:paraId="00000118">
      <w:pPr>
        <w:ind w:left="567" w:firstLine="0"/>
        <w:rPr>
          <w:b/>
          <w:sz w:val="22"/>
          <w:szCs w:val="22"/>
        </w:rPr>
      </w:pPr>
    </w:p>
    <w:p w14:paraId="00000122">
      <w:pPr>
        <w:keepNext/>
        <w:keepLines/>
        <w:tabs>
          <w:tab w:val="left" w:pos="5670"/>
        </w:tabs>
        <w:rPr>
          <w:b/>
          <w:sz w:val="22"/>
          <w:szCs w:val="22"/>
        </w:rPr>
      </w:pPr>
    </w:p>
    <w:p w14:paraId="00000123">
      <w:pPr>
        <w:ind w:hanging="33"/>
        <w:jc w:val="both"/>
      </w:pPr>
    </w:p>
    <w:p w14:paraId="00000124">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tl w:val="0"/>
        </w:rPr>
        <w:t xml:space="preserve"> </w:t>
      </w:r>
    </w:p>
    <w:sectPr>
      <w:headerReference r:id="rId4" w:type="first"/>
      <w:footerReference r:id="rId7" w:type="first"/>
      <w:footerReference r:id="rId5" w:type="default"/>
      <w:footerReference r:id="rId6" w:type="even"/>
      <w:pgSz w:w="11906" w:h="16838"/>
      <w:pgMar w:top="1440" w:right="1558" w:bottom="1440" w:left="1021" w:header="720" w:footer="720"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Belleza">
    <w:altName w:val="Segoe Print"/>
    <w:panose1 w:val="00000000000000000000"/>
    <w:charset w:val="00"/>
    <w:family w:val="auto"/>
    <w:pitch w:val="default"/>
    <w:sig w:usb0="00000000" w:usb1="00000000" w:usb2="00000000" w:usb3="00000000" w:csb0="00000000" w:csb1="00000000"/>
  </w:font>
  <w:font w:name="Optima">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Georgia">
    <w:panose1 w:val="02040502050405020303"/>
    <w:charset w:val="00"/>
    <w:family w:val="auto"/>
    <w:pitch w:val="default"/>
    <w:sig w:usb0="00000287" w:usb1="00000000" w:usb2="00000000" w:usb3="00000000" w:csb0="2000009F" w:csb1="00000000"/>
  </w:font>
  <w:font w:name="Noto Sans Symbols">
    <w:altName w:val="Segoe Print"/>
    <w:panose1 w:val="00000000000000000000"/>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2B">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 w:val="right" w:pos="9072"/>
      </w:tabs>
      <w:spacing w:before="0" w:after="0" w:line="240" w:lineRule="auto"/>
      <w:ind w:left="0" w:right="27"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i w:val="0"/>
        <w:smallCaps w:val="0"/>
        <w:strike w:val="0"/>
        <w:color w:val="000000"/>
        <w:sz w:val="18"/>
        <w:szCs w:val="18"/>
        <w:u w:val="none"/>
        <w:shd w:val="clear" w:fill="auto"/>
        <w:vertAlign w:val="baseline"/>
        <w:rtl w:val="0"/>
      </w:rPr>
      <w:t>2021.1</w:t>
    </w:r>
    <w:r>
      <w:rPr>
        <w:rFonts w:ascii="Times New Roman" w:hAnsi="Times New Roman" w:eastAsia="Times New Roman" w:cs="Times New Roman"/>
        <w:b w:val="0"/>
        <w:i w:val="0"/>
        <w:smallCaps w:val="0"/>
        <w:strike w:val="0"/>
        <w:color w:val="000000"/>
        <w:sz w:val="18"/>
        <w:szCs w:val="18"/>
        <w:u w:val="none"/>
        <w:shd w:val="clear" w:fill="auto"/>
        <w:vertAlign w:val="baseline"/>
        <w:rtl w:val="0"/>
      </w:rPr>
      <w:tab/>
    </w:r>
    <w:r>
      <w:rPr>
        <w:rFonts w:ascii="Times New Roman" w:hAnsi="Times New Roman" w:eastAsia="Times New Roman" w:cs="Times New Roman"/>
        <w:b w:val="0"/>
        <w:i w:val="0"/>
        <w:smallCaps w:val="0"/>
        <w:strike w:val="0"/>
        <w:color w:val="000000"/>
        <w:sz w:val="18"/>
        <w:szCs w:val="18"/>
        <w:u w:val="none"/>
        <w:shd w:val="clear" w:fill="auto"/>
        <w:vertAlign w:val="baseline"/>
        <w:rtl w:val="0"/>
      </w:rPr>
      <w:t xml:space="preserve">Page </w:t>
    </w:r>
    <w:r>
      <w:rPr>
        <w:rFonts w:ascii="Times New Roman" w:hAnsi="Times New Roman" w:eastAsia="Times New Roman" w:cs="Times New Roman"/>
        <w:b w:val="0"/>
        <w:i w:val="0"/>
        <w:smallCaps w:val="0"/>
        <w:strike w:val="0"/>
        <w:color w:val="000000"/>
        <w:sz w:val="18"/>
        <w:szCs w:val="18"/>
        <w:u w:val="none"/>
        <w:shd w:val="clear" w:fill="auto"/>
        <w:vertAlign w:val="baseline"/>
      </w:rPr>
      <w:fldChar w:fldCharType="begin"/>
    </w:r>
    <w:r>
      <w:rPr>
        <w:rFonts w:ascii="Times New Roman" w:hAnsi="Times New Roman" w:eastAsia="Times New Roman" w:cs="Times New Roman"/>
        <w:b w:val="0"/>
        <w:i w:val="0"/>
        <w:smallCaps w:val="0"/>
        <w:strike w:val="0"/>
        <w:color w:val="000000"/>
        <w:sz w:val="18"/>
        <w:szCs w:val="18"/>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18"/>
        <w:szCs w:val="18"/>
        <w:u w:val="none"/>
        <w:shd w:val="clear" w:fill="auto"/>
        <w:vertAlign w:val="baseline"/>
      </w:rPr>
      <w:fldChar w:fldCharType="separate"/>
    </w:r>
    <w:r>
      <w:rPr>
        <w:rFonts w:ascii="Times New Roman" w:hAnsi="Times New Roman" w:eastAsia="Times New Roman" w:cs="Times New Roman"/>
        <w:b w:val="0"/>
        <w:i w:val="0"/>
        <w:smallCaps w:val="0"/>
        <w:strike w:val="0"/>
        <w:color w:val="000000"/>
        <w:sz w:val="18"/>
        <w:szCs w:val="18"/>
        <w:u w:val="none"/>
        <w:shd w:val="clear" w:fill="auto"/>
        <w:vertAlign w:val="baseline"/>
      </w:rPr>
      <w:fldChar w:fldCharType="end"/>
    </w:r>
    <w:r>
      <w:rPr>
        <w:rFonts w:ascii="Times New Roman" w:hAnsi="Times New Roman" w:eastAsia="Times New Roman" w:cs="Times New Roman"/>
        <w:b w:val="0"/>
        <w:i w:val="0"/>
        <w:smallCaps w:val="0"/>
        <w:strike w:val="0"/>
        <w:color w:val="000000"/>
        <w:sz w:val="18"/>
        <w:szCs w:val="18"/>
        <w:u w:val="none"/>
        <w:shd w:val="clear" w:fill="auto"/>
        <w:vertAlign w:val="baseline"/>
        <w:rtl w:val="0"/>
      </w:rPr>
      <w:t xml:space="preserve"> of </w:t>
    </w:r>
    <w:r>
      <w:rPr>
        <w:rFonts w:ascii="Times New Roman" w:hAnsi="Times New Roman" w:eastAsia="Times New Roman" w:cs="Times New Roman"/>
        <w:b w:val="0"/>
        <w:i w:val="0"/>
        <w:smallCaps w:val="0"/>
        <w:strike w:val="0"/>
        <w:color w:val="000000"/>
        <w:sz w:val="18"/>
        <w:szCs w:val="18"/>
        <w:u w:val="none"/>
        <w:shd w:val="clear" w:fill="auto"/>
        <w:vertAlign w:val="baseline"/>
      </w:rPr>
      <w:fldChar w:fldCharType="begin"/>
    </w:r>
    <w:r>
      <w:rPr>
        <w:rFonts w:ascii="Times New Roman" w:hAnsi="Times New Roman" w:eastAsia="Times New Roman" w:cs="Times New Roman"/>
        <w:b w:val="0"/>
        <w:i w:val="0"/>
        <w:smallCaps w:val="0"/>
        <w:strike w:val="0"/>
        <w:color w:val="000000"/>
        <w:sz w:val="18"/>
        <w:szCs w:val="18"/>
        <w:u w:val="none"/>
        <w:shd w:val="clear" w:fill="auto"/>
        <w:vertAlign w:val="baseline"/>
      </w:rPr>
      <w:instrText xml:space="preserve">NUMPAGES</w:instrText>
    </w:r>
    <w:r>
      <w:rPr>
        <w:rFonts w:ascii="Times New Roman" w:hAnsi="Times New Roman" w:eastAsia="Times New Roman" w:cs="Times New Roman"/>
        <w:b w:val="0"/>
        <w:i w:val="0"/>
        <w:smallCaps w:val="0"/>
        <w:strike w:val="0"/>
        <w:color w:val="000000"/>
        <w:sz w:val="18"/>
        <w:szCs w:val="18"/>
        <w:u w:val="none"/>
        <w:shd w:val="clear" w:fill="auto"/>
        <w:vertAlign w:val="baseline"/>
      </w:rPr>
      <w:fldChar w:fldCharType="separate"/>
    </w:r>
    <w:r>
      <w:rPr>
        <w:rFonts w:ascii="Times New Roman" w:hAnsi="Times New Roman" w:eastAsia="Times New Roman" w:cs="Times New Roman"/>
        <w:b w:val="0"/>
        <w:i w:val="0"/>
        <w:smallCaps w:val="0"/>
        <w:strike w:val="0"/>
        <w:color w:val="000000"/>
        <w:sz w:val="18"/>
        <w:szCs w:val="18"/>
        <w:u w:val="none"/>
        <w:shd w:val="clear" w:fill="auto"/>
        <w:vertAlign w:val="baseline"/>
      </w:rPr>
      <w:fldChar w:fldCharType="end"/>
    </w:r>
  </w:p>
  <w:p w14:paraId="0000012C">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 w:val="right" w:pos="9072"/>
      </w:tabs>
      <w:spacing w:before="0" w:after="0" w:line="240" w:lineRule="auto"/>
      <w:ind w:left="0" w:right="27"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Times New Roman" w:hAnsi="Times New Roman" w:eastAsia="Times New Roman" w:cs="Times New Roman"/>
        <w:b w:val="0"/>
        <w:i w:val="0"/>
        <w:smallCaps w:val="0"/>
        <w:strike w:val="0"/>
        <w:color w:val="000000"/>
        <w:sz w:val="18"/>
        <w:szCs w:val="18"/>
        <w:u w:val="none"/>
        <w:shd w:val="clear" w:fill="auto"/>
        <w:vertAlign w:val="baseline"/>
        <w:rtl w:val="0"/>
      </w:rPr>
      <w:t>c7a_evalreport_en.doc</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29">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0" w:firstLine="0"/>
      <w:jc w:val="righ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i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end"/>
    </w:r>
  </w:p>
  <w:p w14:paraId="0000012A">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36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2D">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0" w:firstLine="0"/>
      <w:jc w:val="righ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val="0"/>
        <w:i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val="0"/>
        <w:i w:val="0"/>
        <w:smallCaps w:val="0"/>
        <w:strike w:val="0"/>
        <w:color w:val="000000"/>
        <w:sz w:val="24"/>
        <w:szCs w:val="24"/>
        <w:u w:val="none"/>
        <w:shd w:val="clear" w:fill="auto"/>
        <w:vertAlign w:val="baseline"/>
      </w:rPr>
      <w:fldChar w:fldCharType="end"/>
    </w:r>
  </w:p>
  <w:p w14:paraId="0000012E">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320"/>
        <w:tab w:val="right" w:pos="8640"/>
      </w:tabs>
      <w:spacing w:before="0" w:after="0" w:line="240" w:lineRule="auto"/>
      <w:ind w:left="0" w:right="360" w:firstLine="0"/>
      <w:jc w:val="left"/>
      <w:rPr>
        <w:rFonts w:ascii="Arial" w:hAnsi="Arial" w:eastAsia="Arial" w:cs="Arial"/>
        <w:b w:val="0"/>
        <w:i w:val="0"/>
        <w:smallCaps w:val="0"/>
        <w:strike w:val="0"/>
        <w:color w:val="000000"/>
        <w:sz w:val="20"/>
        <w:szCs w:val="20"/>
        <w:u w:val="none"/>
        <w:shd w:val="clear" w:fill="auto"/>
        <w:vertAlign w:val="baseline"/>
      </w:rPr>
    </w:pPr>
    <w:r>
      <w:rPr>
        <w:rFonts w:ascii="Arial" w:hAnsi="Arial" w:eastAsia="Arial" w:cs="Arial"/>
        <w:b w:val="0"/>
        <w:i w:val="0"/>
        <w:smallCaps w:val="0"/>
        <w:strike w:val="0"/>
        <w:color w:val="000000"/>
        <w:sz w:val="20"/>
        <w:szCs w:val="20"/>
        <w:u w:val="none"/>
        <w:shd w:val="clear" w:fill="auto"/>
        <w:vertAlign w:val="baseline"/>
        <w:rtl w:val="0"/>
      </w:rPr>
      <w:t>2006</w:t>
    </w:r>
    <w:r>
      <w:rPr>
        <w:rFonts w:ascii="Arial" w:hAnsi="Arial" w:eastAsia="Arial" w:cs="Arial"/>
        <w:b w:val="0"/>
        <w:i w:val="0"/>
        <w:smallCaps w:val="0"/>
        <w:strike w:val="0"/>
        <w:color w:val="000000"/>
        <w:sz w:val="20"/>
        <w:szCs w:val="20"/>
        <w:u w:val="none"/>
        <w:shd w:val="clear" w:fill="auto"/>
        <w:vertAlign w:val="baseline"/>
        <w:rtl w:val="0"/>
      </w:rPr>
      <w:tab/>
    </w:r>
    <w:r>
      <w:rPr>
        <w:rFonts w:ascii="Arial" w:hAnsi="Arial" w:eastAsia="Arial" w:cs="Arial"/>
        <w:b w:val="0"/>
        <w:i w:val="0"/>
        <w:smallCaps w:val="0"/>
        <w:strike w:val="0"/>
        <w:color w:val="000000"/>
        <w:sz w:val="20"/>
        <w:szCs w:val="20"/>
        <w:u w:val="none"/>
        <w:shd w:val="clear" w:fill="auto"/>
        <w:vertAlign w:val="baseline"/>
        <w:rtl w:val="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14:paraId="00000125">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w:t>
      </w:r>
      <w:r>
        <w:rPr>
          <w:rFonts w:ascii="Times New Roman" w:hAnsi="Times New Roman" w:eastAsia="Times New Roman" w:cs="Times New Roman"/>
          <w:b w:val="0"/>
          <w:i w:val="0"/>
          <w:smallCaps w:val="0"/>
          <w:strike w:val="0"/>
          <w:color w:val="000000"/>
          <w:sz w:val="20"/>
          <w:szCs w:val="20"/>
          <w:highlight w:val="lightGray"/>
          <w:u w:val="none"/>
          <w:vertAlign w:val="baseline"/>
          <w:rtl w:val="0"/>
        </w:rPr>
        <w:t>Please use a reliable courier service or registered mail to avoid any delays or loss of the documents. The envelope, clearly mentioning the reference of the call for tenders and, if applicable, the e-Submission ID of the tender must be marked as "CALL FOR TENDERS – NOT TO BE OPENED BY THE INTERNAL MAIL DEPARTMENT".</w:t>
      </w:r>
    </w:p>
  </w:footnote>
  <w:footnote w:id="1">
    <w:p w14:paraId="00000126">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0"/>
          <w:szCs w:val="20"/>
          <w:u w:val="none"/>
          <w:shd w:val="clear" w:fill="auto"/>
          <w:vertAlign w:val="baseline"/>
        </w:rPr>
      </w:pPr>
      <w:r>
        <w:rPr>
          <w:vertAlign w:val="superscript"/>
        </w:rPr>
        <w:footnoteRef/>
      </w:r>
      <w:r>
        <w:rPr>
          <w:rFonts w:ascii="Times New Roman" w:hAnsi="Times New Roman" w:eastAsia="Times New Roman" w:cs="Times New Roman"/>
          <w:b w:val="0"/>
          <w:i w:val="0"/>
          <w:smallCaps w:val="0"/>
          <w:strike w:val="0"/>
          <w:color w:val="000000"/>
          <w:sz w:val="20"/>
          <w:szCs w:val="20"/>
          <w:u w:val="none"/>
          <w:shd w:val="clear" w:fill="auto"/>
          <w:vertAlign w:val="baseline"/>
          <w:rtl w:val="0"/>
        </w:rPr>
        <w:t xml:space="preserve"> The updated lists of sanctions are available at </w:t>
      </w:r>
      <w:r>
        <w:fldChar w:fldCharType="begin"/>
      </w:r>
      <w:r>
        <w:instrText xml:space="preserve"> HYPERLINK "http://www.sanctionsmap.eu" \h </w:instrText>
      </w:r>
      <w:r>
        <w:fldChar w:fldCharType="separate"/>
      </w:r>
      <w:r>
        <w:rPr>
          <w:rFonts w:ascii="Times New Roman" w:hAnsi="Times New Roman" w:eastAsia="Times New Roman" w:cs="Times New Roman"/>
          <w:b w:val="0"/>
          <w:i w:val="0"/>
          <w:smallCaps w:val="0"/>
          <w:strike w:val="0"/>
          <w:color w:val="0000FF"/>
          <w:sz w:val="20"/>
          <w:szCs w:val="20"/>
          <w:u w:val="single"/>
          <w:shd w:val="clear" w:fill="auto"/>
          <w:vertAlign w:val="baseline"/>
          <w:rtl w:val="0"/>
        </w:rPr>
        <w:t>www.sanctionsmap.eu</w:t>
      </w:r>
      <w:r>
        <w:rPr>
          <w:rFonts w:ascii="Times New Roman" w:hAnsi="Times New Roman" w:eastAsia="Times New Roman" w:cs="Times New Roman"/>
          <w:b w:val="0"/>
          <w:i w:val="0"/>
          <w:smallCaps w:val="0"/>
          <w:strike w:val="0"/>
          <w:color w:val="0000FF"/>
          <w:sz w:val="20"/>
          <w:szCs w:val="20"/>
          <w:u w:val="single"/>
          <w:shd w:val="clear" w:fill="auto"/>
          <w:vertAlign w:val="baseline"/>
          <w:rtl w:val="0"/>
        </w:rPr>
        <w:fldChar w:fldCharType="end"/>
      </w:r>
      <w:r>
        <w:rPr>
          <w:rFonts w:ascii="Times New Roman" w:hAnsi="Times New Roman" w:eastAsia="Times New Roman" w:cs="Times New Roman"/>
          <w:b w:val="0"/>
          <w:i w:val="0"/>
          <w:smallCaps w:val="0"/>
          <w:strike w:val="0"/>
          <w:color w:val="000000"/>
          <w:sz w:val="20"/>
          <w:szCs w:val="20"/>
          <w:u w:val="none"/>
          <w:shd w:val="clear" w:fill="auto"/>
          <w:vertAlign w:val="baseline"/>
          <w:rtl w:val="0"/>
        </w:rPr>
        <w:t>.  Please note that the sanctions map is an IT tool for identifying the sanctions regimes. The source of the sanctions stems from legal acts published in the Official Journal (OJ). In case of discrepancy between the published legal acts and the updates on the website it is the OJ version that prevails.</w:t>
      </w:r>
    </w:p>
    <w:p w14:paraId="00000127">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left"/>
        <w:rPr>
          <w:rFonts w:ascii="Times New Roman" w:hAnsi="Times New Roman" w:eastAsia="Times New Roman" w:cs="Times New Roman"/>
          <w:b w:val="0"/>
          <w:i w:val="0"/>
          <w:smallCaps w:val="0"/>
          <w:strike w:val="0"/>
          <w:color w:val="000000"/>
          <w:sz w:val="20"/>
          <w:szCs w:val="20"/>
          <w:u w:val="none"/>
          <w:shd w:val="clear" w:fill="auto"/>
          <w:vertAlign w:val="baseline"/>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00128">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Belleza" w:hAnsi="Belleza" w:eastAsia="Belleza" w:cs="Belleza"/>
        <w:b/>
        <w:i w:val="0"/>
        <w:smallCaps w:val="0"/>
        <w:strike w:val="0"/>
        <w:color w:val="000000"/>
        <w:sz w:val="28"/>
        <w:szCs w:val="28"/>
        <w:u w:val="none"/>
        <w:shd w:val="clear" w:fill="auto"/>
        <w:vertAlign w:val="baseline"/>
      </w:rPr>
    </w:pPr>
    <w:r>
      <w:rPr>
        <w:rFonts w:ascii="Arial" w:hAnsi="Arial" w:eastAsia="Arial" w:cs="Arial"/>
        <w:b w:val="0"/>
        <w:i w:val="0"/>
        <w:smallCaps w:val="0"/>
        <w:strike w:val="0"/>
        <w:color w:val="000000"/>
        <w:sz w:val="28"/>
        <w:szCs w:val="28"/>
        <w:u w:val="none"/>
        <w:shd w:val="clear" w:fill="auto"/>
        <w:vertAlign w:val="baseline"/>
        <w:rtl w:val="0"/>
      </w:rPr>
      <w:t>&lt; Letterhead of Contracting Authority &gt;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6D58F41"/>
    <w:multiLevelType w:val="multilevel"/>
    <w:tmpl w:val="66D58F41"/>
    <w:lvl w:ilvl="0" w:tentative="0">
      <w:start w:val="1"/>
      <w:numFmt w:val="bullet"/>
      <w:lvlText w:val="●"/>
      <w:lvlJc w:val="left"/>
      <w:pPr>
        <w:ind w:left="360" w:hanging="360"/>
      </w:pPr>
      <w:rPr>
        <w:rFonts w:ascii="Noto Sans Symbols" w:hAnsi="Noto Sans Symbols" w:eastAsia="Noto Sans Symbols" w:cs="Noto Sans Symbols"/>
      </w:rPr>
    </w:lvl>
    <w:lvl w:ilvl="1" w:tentative="0">
      <w:start w:val="0"/>
      <w:numFmt w:val="decimal"/>
      <w:lvlText w:val=""/>
      <w:lvlJc w:val="left"/>
      <w:pPr>
        <w:ind w:left="0" w:firstLine="0"/>
      </w:pPr>
    </w:lvl>
    <w:lvl w:ilvl="2" w:tentative="0">
      <w:start w:val="0"/>
      <w:numFmt w:val="decimal"/>
      <w:lvlText w:val=""/>
      <w:lvlJc w:val="left"/>
      <w:pPr>
        <w:ind w:left="0" w:firstLine="0"/>
      </w:pPr>
    </w:lvl>
    <w:lvl w:ilvl="3" w:tentative="0">
      <w:start w:val="0"/>
      <w:numFmt w:val="decimal"/>
      <w:lvlText w:val=""/>
      <w:lvlJc w:val="left"/>
      <w:pPr>
        <w:ind w:left="0" w:firstLine="0"/>
      </w:pPr>
    </w:lvl>
    <w:lvl w:ilvl="4" w:tentative="0">
      <w:start w:val="0"/>
      <w:numFmt w:val="decimal"/>
      <w:lvlText w:val=""/>
      <w:lvlJc w:val="left"/>
      <w:pPr>
        <w:ind w:left="0" w:firstLine="0"/>
      </w:pPr>
    </w:lvl>
    <w:lvl w:ilvl="5" w:tentative="0">
      <w:start w:val="0"/>
      <w:numFmt w:val="decimal"/>
      <w:lvlText w:val=""/>
      <w:lvlJc w:val="left"/>
      <w:pPr>
        <w:ind w:left="0" w:firstLine="0"/>
      </w:pPr>
    </w:lvl>
    <w:lvl w:ilvl="6" w:tentative="0">
      <w:start w:val="0"/>
      <w:numFmt w:val="decimal"/>
      <w:lvlText w:val=""/>
      <w:lvlJc w:val="left"/>
      <w:pPr>
        <w:ind w:left="0" w:firstLine="0"/>
      </w:pPr>
    </w:lvl>
    <w:lvl w:ilvl="7" w:tentative="0">
      <w:start w:val="0"/>
      <w:numFmt w:val="decimal"/>
      <w:lvlText w:val=""/>
      <w:lvlJc w:val="left"/>
      <w:pPr>
        <w:ind w:left="0" w:firstLine="0"/>
      </w:pPr>
    </w:lvl>
    <w:lvl w:ilvl="8" w:tentative="0">
      <w:start w:val="0"/>
      <w:numFmt w:val="decimal"/>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footnotePr>
    <w:footnote w:id="4"/>
    <w:footnote w:id="5"/>
  </w:footnotePr>
  <w:compat>
    <w:compatSetting w:name="compatibilityMode" w:uri="http://schemas.microsoft.com/office/word" w:val="15"/>
  </w:compat>
  <w:rsids>
    <w:rsidRoot w:val="00000000"/>
    <w:rsid w:val="068C37B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napToGrid w:val="0"/>
      <w:sz w:val="24"/>
      <w:szCs w:val="24"/>
      <w:lang w:val="fr-FR" w:eastAsia="en-US"/>
    </w:rPr>
  </w:style>
  <w:style w:type="paragraph" w:styleId="2">
    <w:name w:val="heading 1"/>
    <w:basedOn w:val="1"/>
    <w:next w:val="1"/>
    <w:qFormat/>
    <w:uiPriority w:val="0"/>
    <w:pPr>
      <w:keepNext/>
      <w:spacing w:before="240" w:after="60"/>
      <w:outlineLvl w:val="0"/>
    </w:pPr>
    <w:rPr>
      <w:rFonts w:ascii="Arial" w:hAnsi="Arial"/>
      <w:b/>
      <w:kern w:val="28"/>
      <w:sz w:val="28"/>
    </w:rPr>
  </w:style>
  <w:style w:type="paragraph" w:styleId="3">
    <w:name w:val="heading 2"/>
    <w:basedOn w:val="1"/>
    <w:next w:val="1"/>
    <w:uiPriority w:val="0"/>
    <w:pPr>
      <w:keepNext/>
      <w:keepLines/>
      <w:pageBreakBefore w:val="0"/>
      <w:spacing w:before="360" w:after="80"/>
    </w:pPr>
    <w:rPr>
      <w:b/>
      <w:sz w:val="36"/>
      <w:szCs w:val="36"/>
    </w:rPr>
  </w:style>
  <w:style w:type="paragraph" w:styleId="4">
    <w:name w:val="heading 3"/>
    <w:basedOn w:val="1"/>
    <w:next w:val="1"/>
    <w:qFormat/>
    <w:uiPriority w:val="0"/>
    <w:pPr>
      <w:keepLines/>
      <w:tabs>
        <w:tab w:val="left" w:pos="2552"/>
      </w:tabs>
      <w:spacing w:before="360" w:after="240"/>
      <w:ind w:left="1701"/>
      <w:outlineLvl w:val="2"/>
    </w:pPr>
    <w:rPr>
      <w:rFonts w:ascii="Optima" w:hAnsi="Optima"/>
      <w:caps/>
      <w:kern w:val="0"/>
      <w:sz w:val="24"/>
    </w:rPr>
  </w:style>
  <w:style w:type="paragraph" w:styleId="5">
    <w:name w:val="heading 4"/>
    <w:basedOn w:val="1"/>
    <w:next w:val="1"/>
    <w:uiPriority w:val="0"/>
    <w:pPr>
      <w:keepNext/>
      <w:keepLines/>
      <w:pageBreakBefore w:val="0"/>
      <w:spacing w:before="240" w:after="40"/>
    </w:pPr>
    <w:rPr>
      <w:b/>
      <w:sz w:val="24"/>
      <w:szCs w:val="24"/>
    </w:rPr>
  </w:style>
  <w:style w:type="paragraph" w:styleId="6">
    <w:name w:val="heading 5"/>
    <w:basedOn w:val="1"/>
    <w:next w:val="1"/>
    <w:uiPriority w:val="0"/>
    <w:pPr>
      <w:keepNext/>
      <w:keepLines/>
      <w:pageBreakBefore w:val="0"/>
      <w:spacing w:before="220" w:after="40"/>
    </w:pPr>
    <w:rPr>
      <w:b/>
      <w:sz w:val="22"/>
      <w:szCs w:val="22"/>
    </w:rPr>
  </w:style>
  <w:style w:type="paragraph" w:styleId="7">
    <w:name w:val="heading 6"/>
    <w:basedOn w:val="1"/>
    <w:next w:val="1"/>
    <w:uiPriority w:val="0"/>
    <w:pPr>
      <w:keepNext/>
      <w:keepLines/>
      <w:pageBreakBefore w:val="0"/>
      <w:spacing w:before="200" w:after="40"/>
    </w:pPr>
    <w:rPr>
      <w:b/>
      <w:sz w:val="20"/>
      <w:szCs w:val="20"/>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semiHidden/>
    <w:qFormat/>
    <w:uiPriority w:val="0"/>
    <w:rPr>
      <w:rFonts w:ascii="Tahoma" w:hAnsi="Tahoma"/>
      <w:sz w:val="16"/>
      <w:szCs w:val="16"/>
    </w:rPr>
  </w:style>
  <w:style w:type="paragraph" w:styleId="11">
    <w:name w:val="Body Text"/>
    <w:basedOn w:val="1"/>
    <w:qFormat/>
    <w:uiPriority w:val="0"/>
    <w:rPr>
      <w:snapToGrid/>
      <w:lang w:val="sv-SE" w:eastAsia="en-GB"/>
    </w:rPr>
  </w:style>
  <w:style w:type="character" w:styleId="12">
    <w:name w:val="annotation reference"/>
    <w:qFormat/>
    <w:uiPriority w:val="0"/>
    <w:rPr>
      <w:sz w:val="16"/>
      <w:szCs w:val="16"/>
    </w:rPr>
  </w:style>
  <w:style w:type="paragraph" w:styleId="13">
    <w:name w:val="annotation text"/>
    <w:basedOn w:val="1"/>
    <w:link w:val="33"/>
    <w:qFormat/>
    <w:uiPriority w:val="0"/>
    <w:rPr>
      <w:sz w:val="20"/>
    </w:rPr>
  </w:style>
  <w:style w:type="paragraph" w:styleId="14">
    <w:name w:val="annotation subject"/>
    <w:basedOn w:val="13"/>
    <w:next w:val="13"/>
    <w:semiHidden/>
    <w:qFormat/>
    <w:uiPriority w:val="0"/>
    <w:rPr>
      <w:b/>
      <w:bCs/>
    </w:rPr>
  </w:style>
  <w:style w:type="paragraph" w:styleId="15">
    <w:name w:val="Document Map"/>
    <w:basedOn w:val="1"/>
    <w:semiHidden/>
    <w:qFormat/>
    <w:uiPriority w:val="0"/>
    <w:pPr>
      <w:shd w:val="clear" w:color="auto" w:fill="000080"/>
    </w:pPr>
    <w:rPr>
      <w:rFonts w:ascii="Tahoma" w:hAnsi="Tahoma"/>
    </w:rPr>
  </w:style>
  <w:style w:type="paragraph" w:styleId="16">
    <w:name w:val="footer"/>
    <w:basedOn w:val="1"/>
    <w:qFormat/>
    <w:uiPriority w:val="0"/>
    <w:pPr>
      <w:tabs>
        <w:tab w:val="center" w:pos="4320"/>
        <w:tab w:val="right" w:pos="8640"/>
      </w:tabs>
    </w:pPr>
  </w:style>
  <w:style w:type="character" w:styleId="17">
    <w:name w:val="footnote reference"/>
    <w:semiHidden/>
    <w:qFormat/>
    <w:uiPriority w:val="0"/>
    <w:rPr>
      <w:vertAlign w:val="superscript"/>
    </w:rPr>
  </w:style>
  <w:style w:type="paragraph" w:styleId="18">
    <w:name w:val="footnote text"/>
    <w:basedOn w:val="1"/>
    <w:semiHidden/>
    <w:qFormat/>
    <w:uiPriority w:val="0"/>
    <w:rPr>
      <w:sz w:val="20"/>
    </w:rPr>
  </w:style>
  <w:style w:type="paragraph" w:styleId="19">
    <w:name w:val="header"/>
    <w:basedOn w:val="1"/>
    <w:link w:val="34"/>
    <w:qFormat/>
    <w:uiPriority w:val="0"/>
    <w:pPr>
      <w:tabs>
        <w:tab w:val="center" w:pos="4320"/>
        <w:tab w:val="right" w:pos="8640"/>
      </w:tabs>
    </w:pPr>
  </w:style>
  <w:style w:type="character" w:styleId="20">
    <w:name w:val="Hyperlink"/>
    <w:qFormat/>
    <w:uiPriority w:val="0"/>
    <w:rPr>
      <w:color w:val="0000FF"/>
      <w:u w:val="single"/>
    </w:rPr>
  </w:style>
  <w:style w:type="character" w:styleId="21">
    <w:name w:val="page number"/>
    <w:basedOn w:val="8"/>
    <w:qFormat/>
    <w:uiPriority w:val="0"/>
  </w:style>
  <w:style w:type="paragraph" w:styleId="22">
    <w:name w:val="Subtitle"/>
    <w:basedOn w:val="1"/>
    <w:next w:val="1"/>
    <w:qFormat/>
    <w:uiPriority w:val="0"/>
    <w:pPr>
      <w:keepNext/>
      <w:keepLines/>
      <w:pageBreakBefore w:val="0"/>
      <w:spacing w:before="360" w:after="80"/>
    </w:pPr>
    <w:rPr>
      <w:rFonts w:ascii="Georgia" w:hAnsi="Georgia" w:eastAsia="Georgia" w:cs="Georgia"/>
      <w:i/>
      <w:color w:val="666666"/>
      <w:sz w:val="48"/>
      <w:szCs w:val="48"/>
    </w:rPr>
  </w:style>
  <w:style w:type="paragraph" w:styleId="23">
    <w:name w:val="Title"/>
    <w:basedOn w:val="1"/>
    <w:next w:val="1"/>
    <w:uiPriority w:val="0"/>
    <w:pPr>
      <w:keepNext/>
      <w:keepLines/>
      <w:pageBreakBefore w:val="0"/>
      <w:spacing w:before="480" w:after="120"/>
    </w:pPr>
    <w:rPr>
      <w:b/>
      <w:sz w:val="72"/>
      <w:szCs w:val="72"/>
    </w:rPr>
  </w:style>
  <w:style w:type="table" w:customStyle="1" w:styleId="24">
    <w:name w:val="TableNormal"/>
    <w:uiPriority w:val="0"/>
  </w:style>
  <w:style w:type="paragraph" w:customStyle="1" w:styleId="25">
    <w:name w:val="title_front"/>
    <w:basedOn w:val="1"/>
    <w:qFormat/>
    <w:uiPriority w:val="0"/>
    <w:pPr>
      <w:spacing w:before="240"/>
      <w:ind w:left="1701"/>
      <w:jc w:val="right"/>
    </w:pPr>
    <w:rPr>
      <w:rFonts w:ascii="Optima" w:hAnsi="Optima"/>
      <w:b/>
      <w:sz w:val="28"/>
      <w:lang w:val="en-GB"/>
    </w:rPr>
  </w:style>
  <w:style w:type="paragraph" w:customStyle="1" w:styleId="26">
    <w:name w:val="List1"/>
    <w:basedOn w:val="1"/>
    <w:qFormat/>
    <w:uiPriority w:val="0"/>
    <w:pPr>
      <w:spacing w:before="240"/>
      <w:ind w:left="2268" w:hanging="567"/>
      <w:jc w:val="both"/>
    </w:pPr>
    <w:rPr>
      <w:rFonts w:ascii="Optima" w:hAnsi="Optima"/>
      <w:sz w:val="22"/>
      <w:lang w:val="en-GB"/>
    </w:rPr>
  </w:style>
  <w:style w:type="paragraph" w:customStyle="1" w:styleId="27">
    <w:name w:val="bullet_bol"/>
    <w:basedOn w:val="1"/>
    <w:qFormat/>
    <w:uiPriority w:val="0"/>
    <w:pPr>
      <w:tabs>
        <w:tab w:val="left" w:pos="2260"/>
      </w:tabs>
      <w:spacing w:before="120"/>
      <w:ind w:left="2061" w:hanging="360"/>
      <w:jc w:val="both"/>
    </w:pPr>
    <w:rPr>
      <w:rFonts w:ascii="Optima" w:hAnsi="Optima"/>
      <w:sz w:val="22"/>
      <w:lang w:val="en-GB"/>
    </w:rPr>
  </w:style>
  <w:style w:type="paragraph" w:customStyle="1" w:styleId="28">
    <w:name w:val="internormal"/>
    <w:basedOn w:val="1"/>
    <w:qFormat/>
    <w:uiPriority w:val="0"/>
    <w:pPr>
      <w:ind w:left="1701"/>
      <w:jc w:val="both"/>
    </w:pPr>
    <w:rPr>
      <w:rFonts w:ascii="Optima" w:hAnsi="Optima"/>
      <w:sz w:val="22"/>
      <w:lang w:val="en-GB"/>
    </w:rPr>
  </w:style>
  <w:style w:type="paragraph" w:customStyle="1" w:styleId="29">
    <w:name w:val="normal_tableau"/>
    <w:basedOn w:val="1"/>
    <w:qFormat/>
    <w:uiPriority w:val="0"/>
    <w:pPr>
      <w:spacing w:before="120" w:after="120"/>
      <w:jc w:val="both"/>
    </w:pPr>
    <w:rPr>
      <w:rFonts w:ascii="Optima" w:hAnsi="Optima"/>
      <w:sz w:val="22"/>
      <w:lang w:val="en-GB"/>
    </w:rPr>
  </w:style>
  <w:style w:type="character" w:customStyle="1" w:styleId="30">
    <w:name w:val="Style 11 pt"/>
    <w:qFormat/>
    <w:uiPriority w:val="0"/>
    <w:rPr>
      <w:sz w:val="22"/>
    </w:rPr>
  </w:style>
  <w:style w:type="paragraph" w:customStyle="1" w:styleId="31">
    <w:name w:val="Char2"/>
    <w:basedOn w:val="1"/>
    <w:qFormat/>
    <w:uiPriority w:val="0"/>
    <w:pPr>
      <w:spacing w:after="160" w:line="240" w:lineRule="exact"/>
    </w:pPr>
    <w:rPr>
      <w:rFonts w:ascii="Tahoma" w:hAnsi="Tahoma"/>
      <w:snapToGrid/>
      <w:sz w:val="20"/>
      <w:lang w:val="en-US"/>
    </w:rPr>
  </w:style>
  <w:style w:type="paragraph" w:customStyle="1" w:styleId="32">
    <w:name w:val="Annexe_title"/>
    <w:basedOn w:val="2"/>
    <w:next w:val="1"/>
    <w:autoRedefine/>
    <w:qFormat/>
    <w:uiPriority w:val="0"/>
    <w:pPr>
      <w:keepNext w:val="0"/>
      <w:pageBreakBefore/>
      <w:tabs>
        <w:tab w:val="left" w:pos="1701"/>
        <w:tab w:val="left" w:pos="2552"/>
      </w:tabs>
      <w:spacing w:after="240"/>
      <w:jc w:val="center"/>
      <w:outlineLvl w:val="9"/>
    </w:pPr>
    <w:rPr>
      <w:rFonts w:ascii="Optima" w:hAnsi="Optima"/>
      <w:caps/>
      <w:snapToGrid/>
      <w:kern w:val="0"/>
      <w:sz w:val="32"/>
      <w:lang w:val="en-GB" w:eastAsia="en-GB"/>
    </w:rPr>
  </w:style>
  <w:style w:type="character" w:customStyle="1" w:styleId="33">
    <w:name w:val="Açıklama Metni Char"/>
    <w:link w:val="13"/>
    <w:qFormat/>
    <w:uiPriority w:val="0"/>
    <w:rPr>
      <w:snapToGrid w:val="0"/>
      <w:lang w:val="fr-FR" w:eastAsia="en-US"/>
    </w:rPr>
  </w:style>
  <w:style w:type="character" w:customStyle="1" w:styleId="34">
    <w:name w:val="Üst Bilgi Char"/>
    <w:link w:val="19"/>
    <w:qFormat/>
    <w:uiPriority w:val="0"/>
    <w:rPr>
      <w:snapToGrid w:val="0"/>
      <w:sz w:val="24"/>
      <w:lang w:val="fr-FR" w:eastAsia="en-US"/>
    </w:rPr>
  </w:style>
  <w:style w:type="character" w:customStyle="1" w:styleId="35">
    <w:name w:val="normaltextrun"/>
    <w:qFormat/>
    <w:uiPriority w:val="0"/>
  </w:style>
  <w:style w:type="character" w:customStyle="1" w:styleId="36">
    <w:name w:val="eop"/>
    <w:qFormat/>
    <w:uiPriority w:val="0"/>
  </w:style>
  <w:style w:type="paragraph" w:styleId="37">
    <w:name w:val="List Paragraph"/>
    <w:basedOn w:val="1"/>
    <w:qFormat/>
    <w:uiPriority w:val="34"/>
    <w:pPr>
      <w:ind w:left="720"/>
    </w:pPr>
    <w:rPr>
      <w:rFonts w:ascii="Calibri" w:hAnsi="Calibri" w:eastAsia="Calibri" w:cs="Calibri"/>
      <w:snapToGrid/>
      <w:sz w:val="22"/>
      <w:szCs w:val="22"/>
      <w:lang w:val="fr-BE"/>
    </w:rPr>
  </w:style>
  <w:style w:type="paragraph" w:customStyle="1" w:styleId="38">
    <w:name w:val="Text 1"/>
    <w:basedOn w:val="1"/>
    <w:link w:val="39"/>
    <w:qFormat/>
    <w:uiPriority w:val="0"/>
    <w:pPr>
      <w:spacing w:before="120" w:after="120"/>
      <w:ind w:left="850"/>
      <w:jc w:val="both"/>
    </w:pPr>
    <w:rPr>
      <w:rFonts w:eastAsia="Calibri"/>
      <w:snapToGrid/>
      <w:szCs w:val="22"/>
      <w:lang w:val="en-GB"/>
    </w:rPr>
  </w:style>
  <w:style w:type="character" w:customStyle="1" w:styleId="39">
    <w:name w:val="Text 1 Char"/>
    <w:link w:val="38"/>
    <w:qFormat/>
    <w:uiPriority w:val="0"/>
    <w:rPr>
      <w:rFonts w:eastAsia="Calibri"/>
      <w:sz w:val="24"/>
      <w:szCs w:val="22"/>
      <w:lang w:eastAsia="en-US"/>
    </w:rPr>
  </w:style>
  <w:style w:type="paragraph" w:customStyle="1" w:styleId="40">
    <w:name w:val="Revision"/>
    <w:hidden/>
    <w:semiHidden/>
    <w:qFormat/>
    <w:uiPriority w:val="99"/>
    <w:rPr>
      <w:snapToGrid w:val="0"/>
      <w:sz w:val="24"/>
      <w:szCs w:val="24"/>
      <w:lang w:val="fr-FR" w:eastAsia="en-US"/>
    </w:rPr>
  </w:style>
  <w:style w:type="table" w:customStyle="1" w:styleId="41">
    <w:name w:val="_Style 43"/>
    <w:basedOn w:val="24"/>
    <w:qFormat/>
    <w:uiPriority w:val="0"/>
    <w:tblPr>
      <w:tblCellMar>
        <w:top w:w="0" w:type="dxa"/>
        <w:left w:w="115" w:type="dxa"/>
        <w:bottom w:w="0" w:type="dxa"/>
        <w:right w:w="115" w:type="dxa"/>
      </w:tblCellMar>
    </w:tblPr>
  </w:style>
  <w:style w:type="table" w:customStyle="1" w:styleId="42">
    <w:name w:val="_Style 44"/>
    <w:basedOn w:val="24"/>
    <w:qFormat/>
    <w:uiPriority w:val="0"/>
    <w:tblPr>
      <w:tblCellMar>
        <w:top w:w="0" w:type="dxa"/>
        <w:left w:w="115" w:type="dxa"/>
        <w:bottom w:w="0" w:type="dxa"/>
        <w:right w:w="115" w:type="dxa"/>
      </w:tblCellMar>
    </w:tblPr>
  </w:style>
  <w:style w:type="table" w:customStyle="1" w:styleId="43">
    <w:name w:val="_Style 45"/>
    <w:basedOn w:val="24"/>
    <w:qFormat/>
    <w:uiPriority w:val="0"/>
    <w:tblPr>
      <w:tblCellMar>
        <w:top w:w="0" w:type="dxa"/>
        <w:left w:w="115" w:type="dxa"/>
        <w:bottom w:w="0" w:type="dxa"/>
        <w:right w:w="115" w:type="dxa"/>
      </w:tblCellMar>
    </w:tblPr>
  </w:style>
  <w:style w:type="table" w:customStyle="1" w:styleId="44">
    <w:name w:val="_Style 46"/>
    <w:basedOn w:val="24"/>
    <w:qFormat/>
    <w:uiPriority w:val="0"/>
    <w:tblPr>
      <w:tblCellMar>
        <w:top w:w="0" w:type="dxa"/>
        <w:left w:w="115" w:type="dxa"/>
        <w:bottom w:w="0" w:type="dxa"/>
        <w:right w:w="115" w:type="dxa"/>
      </w:tblCellMar>
    </w:tblPr>
  </w:style>
  <w:style w:type="table" w:customStyle="1" w:styleId="45">
    <w:name w:val="_Style 47"/>
    <w:basedOn w:val="24"/>
    <w:qFormat/>
    <w:uiPriority w:val="0"/>
    <w:tblPr>
      <w:tblCellMar>
        <w:top w:w="0" w:type="dxa"/>
        <w:left w:w="115" w:type="dxa"/>
        <w:bottom w:w="0" w:type="dxa"/>
        <w:right w:w="115" w:type="dxa"/>
      </w:tblCellMar>
    </w:tblPr>
  </w:style>
  <w:style w:type="table" w:customStyle="1" w:styleId="46">
    <w:name w:val="_Style 48"/>
    <w:basedOn w:val="24"/>
    <w:qFormat/>
    <w:uiPriority w:val="0"/>
    <w:tblPr>
      <w:tblCellMar>
        <w:top w:w="0" w:type="dxa"/>
        <w:left w:w="115" w:type="dxa"/>
        <w:bottom w:w="0" w:type="dxa"/>
        <w:right w:w="115" w:type="dxa"/>
      </w:tblCellMar>
    </w:tblPr>
  </w:style>
  <w:style w:type="table" w:customStyle="1" w:styleId="47">
    <w:name w:val="_Style 49"/>
    <w:basedOn w:val="24"/>
    <w:qFormat/>
    <w:uiPriority w:val="0"/>
    <w:tblPr>
      <w:tblCellMar>
        <w:top w:w="0" w:type="dxa"/>
        <w:left w:w="115" w:type="dxa"/>
        <w:bottom w:w="0" w:type="dxa"/>
        <w:right w:w="115" w:type="dxa"/>
      </w:tblCellMar>
    </w:tblPr>
  </w:style>
  <w:style w:type="table" w:customStyle="1" w:styleId="48">
    <w:name w:val="_Style 50"/>
    <w:basedOn w:val="24"/>
    <w:qFormat/>
    <w:uiPriority w:val="0"/>
    <w:tblPr>
      <w:tblCellMar>
        <w:top w:w="0" w:type="dxa"/>
        <w:left w:w="115" w:type="dxa"/>
        <w:bottom w:w="0" w:type="dxa"/>
        <w:right w:w="115" w:type="dxa"/>
      </w:tblCellMar>
    </w:tblPr>
  </w:style>
  <w:style w:type="table" w:customStyle="1" w:styleId="49">
    <w:name w:val="_Style 51"/>
    <w:basedOn w:val="24"/>
    <w:qFormat/>
    <w:uiPriority w:val="0"/>
    <w:tblPr>
      <w:tblCellMar>
        <w:top w:w="0" w:type="dxa"/>
        <w:left w:w="115" w:type="dxa"/>
        <w:bottom w:w="0" w:type="dxa"/>
        <w:right w:w="115" w:type="dxa"/>
      </w:tblCellMar>
    </w:tblPr>
  </w:style>
  <w:style w:type="table" w:customStyle="1" w:styleId="50">
    <w:name w:val="_Style 52"/>
    <w:basedOn w:val="24"/>
    <w:qFormat/>
    <w:uiPriority w:val="0"/>
    <w:tblPr>
      <w:tblCellMar>
        <w:top w:w="0" w:type="dxa"/>
        <w:left w:w="115" w:type="dxa"/>
        <w:bottom w:w="0" w:type="dxa"/>
        <w:right w:w="115" w:type="dxa"/>
      </w:tblCellMar>
    </w:tblPr>
  </w:style>
  <w:style w:type="table" w:customStyle="1" w:styleId="51">
    <w:name w:val="_Style 53"/>
    <w:basedOn w:val="24"/>
    <w:qFormat/>
    <w:uiPriority w:val="0"/>
    <w:tblPr>
      <w:tblCellMar>
        <w:top w:w="0" w:type="dxa"/>
        <w:left w:w="115" w:type="dxa"/>
        <w:bottom w:w="0" w:type="dxa"/>
        <w:right w:w="115" w:type="dxa"/>
      </w:tblCellMar>
    </w:tblPr>
  </w:style>
  <w:style w:type="table" w:customStyle="1" w:styleId="52">
    <w:name w:val="_Style 54"/>
    <w:basedOn w:val="24"/>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p4VTvL6UkxfgP/DryRLH6Y5sXg==">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</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5</Pages>
  <TotalTime>50</TotalTime>
  <ScaleCrop>false</ScaleCrop>
  <LinksUpToDate>false</LinksUpToDate>
  <Application>WPS Office_12.2.0.21546_F1E327BC-269C-435d-A152-05C5408002CA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2025-02-19T19:03:00Z</dcterms:created>
  <dc:creator>kaiser helmut</dc:creator>
  <cp:lastModifiedBy>Ahmet Güvender</cp:lastModifiedBy>
  <cp:lastPrinted>2025-06-30T08:38:57Z</cp:lastPrinted>
  <dcterms:modified xsi:type="dcterms:W3CDTF">2025-06-30T16:51:41Z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-1863455837</vt:i4>
  </property>
  <property fmtid="{D5CDD505-2E9C-101B-9397-08002B2CF9AE}" pid="3" name="_EmailSubject">
    <vt:lpwstr>Annexes fournitures</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ontentTypeId">
    <vt:lpwstr>0x010100724FDE23FB365D4CB8B2901107175F9F</vt:lpwstr>
  </property>
  <property fmtid="{D5CDD505-2E9C-101B-9397-08002B2CF9AE}" pid="8" name="KSOProductBuildVer">
    <vt:lpwstr>1033-12.2.0.21546</vt:lpwstr>
  </property>
  <property fmtid="{D5CDD505-2E9C-101B-9397-08002B2CF9AE}" pid="9" name="ICV">
    <vt:lpwstr>39F4042A009746DFA0D7BC2D2B2F9E37_12</vt:lpwstr>
  </property>
</Properties>
</file>