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SERVICE CONTRACT NOTICE</w:t>
      </w:r>
    </w:p>
    <w:p w:rsidR="00000000" w:rsidDel="00000000" w:rsidP="00000000" w:rsidRDefault="00000000" w:rsidRPr="00000000" w14:paraId="00000002">
      <w:pPr>
        <w:jc w:val="center"/>
        <w:rPr>
          <w:sz w:val="28"/>
          <w:szCs w:val="28"/>
        </w:rPr>
      </w:pPr>
      <w:r w:rsidDel="00000000" w:rsidR="00000000" w:rsidRPr="00000000">
        <w:rPr>
          <w:b w:val="1"/>
          <w:sz w:val="28"/>
          <w:szCs w:val="28"/>
          <w:rtl w:val="0"/>
        </w:rPr>
        <w:t xml:space="preserve">One-on-one Support Mentorship Programs for Entrepreneurs</w:t>
        <w:br w:type="textWrapping"/>
        <w:t xml:space="preserve">Location – </w:t>
      </w:r>
      <w:r w:rsidDel="00000000" w:rsidR="00000000" w:rsidRPr="00000000">
        <w:rPr>
          <w:sz w:val="28"/>
          <w:szCs w:val="28"/>
          <w:rtl w:val="0"/>
        </w:rPr>
        <w:t xml:space="preserve">Türkiye </w:t>
      </w:r>
    </w:p>
    <w:p w:rsidR="00000000" w:rsidDel="00000000" w:rsidP="00000000" w:rsidRDefault="00000000" w:rsidRPr="00000000" w14:paraId="00000003">
      <w:pPr>
        <w:ind w:left="709" w:hanging="349"/>
        <w:rPr>
          <w:b w:val="1"/>
          <w:sz w:val="22"/>
          <w:szCs w:val="22"/>
        </w:rPr>
      </w:pPr>
      <w:r w:rsidDel="00000000" w:rsidR="00000000" w:rsidRPr="00000000">
        <w:rPr>
          <w:rtl w:val="0"/>
        </w:rPr>
      </w:r>
    </w:p>
    <w:p w:rsidR="00000000" w:rsidDel="00000000" w:rsidP="00000000" w:rsidRDefault="00000000" w:rsidRPr="00000000" w14:paraId="00000004">
      <w:pPr>
        <w:ind w:left="709" w:hanging="349"/>
        <w:rPr>
          <w:sz w:val="22"/>
          <w:szCs w:val="22"/>
        </w:rPr>
      </w:pPr>
      <w:r w:rsidDel="00000000" w:rsidR="00000000" w:rsidRPr="00000000">
        <w:rPr>
          <w:b w:val="1"/>
          <w:sz w:val="22"/>
          <w:szCs w:val="22"/>
          <w:rtl w:val="0"/>
        </w:rPr>
        <w:t xml:space="preserve">1.</w:t>
        <w:tab/>
        <w:t xml:space="preserve">Reference</w:t>
      </w:r>
      <w:r w:rsidDel="00000000" w:rsidR="00000000" w:rsidRPr="00000000">
        <w:rPr>
          <w:rtl w:val="0"/>
        </w:rPr>
      </w:r>
    </w:p>
    <w:p w:rsidR="00000000" w:rsidDel="00000000" w:rsidP="00000000" w:rsidRDefault="00000000" w:rsidRPr="00000000" w14:paraId="00000005">
      <w:pPr>
        <w:ind w:left="709" w:hanging="349"/>
        <w:rPr>
          <w:b w:val="1"/>
          <w:sz w:val="22"/>
          <w:szCs w:val="22"/>
        </w:rPr>
      </w:pPr>
      <w:bookmarkStart w:colFirst="0" w:colLast="0" w:name="_heading=h.goevxcnb3it0" w:id="0"/>
      <w:bookmarkEnd w:id="0"/>
      <w:r w:rsidDel="00000000" w:rsidR="00000000" w:rsidRPr="00000000">
        <w:rPr>
          <w:b w:val="1"/>
          <w:sz w:val="22"/>
          <w:szCs w:val="22"/>
          <w:rtl w:val="0"/>
        </w:rPr>
        <w:t xml:space="preserve">IPA III/2024/457-197/TK-008</w:t>
      </w:r>
    </w:p>
    <w:p w:rsidR="00000000" w:rsidDel="00000000" w:rsidP="00000000" w:rsidRDefault="00000000" w:rsidRPr="00000000" w14:paraId="00000006">
      <w:pPr>
        <w:ind w:left="709" w:hanging="349"/>
        <w:rPr>
          <w:sz w:val="22"/>
          <w:szCs w:val="22"/>
        </w:rPr>
      </w:pPr>
      <w:r w:rsidDel="00000000" w:rsidR="00000000" w:rsidRPr="00000000">
        <w:rPr>
          <w:b w:val="1"/>
          <w:sz w:val="22"/>
          <w:szCs w:val="22"/>
          <w:rtl w:val="0"/>
        </w:rPr>
        <w:t xml:space="preserve">2.</w:t>
        <w:tab/>
        <w:t xml:space="preserve">Procedure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right="360"/>
        <w:jc w:val="both"/>
        <w:rPr>
          <w:b w:val="1"/>
          <w:color w:val="000000"/>
          <w:sz w:val="22"/>
          <w:szCs w:val="22"/>
        </w:rPr>
      </w:pPr>
      <w:r w:rsidDel="00000000" w:rsidR="00000000" w:rsidRPr="00000000">
        <w:rPr>
          <w:color w:val="000000"/>
          <w:sz w:val="22"/>
          <w:szCs w:val="22"/>
          <w:rtl w:val="0"/>
        </w:rPr>
        <w:t xml:space="preserve">   Simplified</w:t>
      </w:r>
      <w:r w:rsidDel="00000000" w:rsidR="00000000" w:rsidRPr="00000000">
        <w:rPr>
          <w:b w:val="1"/>
          <w:color w:val="000000"/>
          <w:sz w:val="22"/>
          <w:szCs w:val="22"/>
          <w:rtl w:val="0"/>
        </w:rPr>
        <w:t xml:space="preserve"> </w:t>
        <w:tab/>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360"/>
        <w:jc w:val="both"/>
        <w:rPr>
          <w:b w:val="1"/>
          <w:color w:val="000000"/>
          <w:sz w:val="22"/>
          <w:szCs w:val="22"/>
        </w:rPr>
      </w:pPr>
      <w:r w:rsidDel="00000000" w:rsidR="00000000" w:rsidRPr="00000000">
        <w:rPr>
          <w:b w:val="1"/>
          <w:color w:val="000000"/>
          <w:sz w:val="22"/>
          <w:szCs w:val="22"/>
          <w:rtl w:val="0"/>
        </w:rPr>
        <w:t xml:space="preserve">Programme title</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357" w:right="357" w:hanging="567"/>
        <w:rPr>
          <w:color w:val="000000"/>
        </w:rPr>
      </w:pPr>
      <w:r w:rsidDel="00000000" w:rsidR="00000000" w:rsidRPr="00000000">
        <w:rPr>
          <w:color w:val="000000"/>
          <w:rtl w:val="0"/>
        </w:rPr>
        <w:t xml:space="preserve">EU Support to REDI Phase II: Advancing Roma Entrepreneurs in the Western Balkans and Türkiye </w:t>
      </w:r>
    </w:p>
    <w:p w:rsidR="00000000" w:rsidDel="00000000" w:rsidP="00000000" w:rsidRDefault="00000000" w:rsidRPr="00000000" w14:paraId="0000000A">
      <w:pPr>
        <w:ind w:left="709" w:hanging="349"/>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Budget Line: 5.</w:t>
      </w:r>
      <w:r w:rsidDel="00000000" w:rsidR="00000000" w:rsidRPr="00000000">
        <w:rPr>
          <w:sz w:val="22"/>
          <w:szCs w:val="22"/>
          <w:rtl w:val="0"/>
        </w:rPr>
        <w:t xml:space="preserve">2</w:t>
      </w:r>
      <w:r w:rsidDel="00000000" w:rsidR="00000000" w:rsidRPr="00000000">
        <w:rPr>
          <w:color w:val="000000"/>
          <w:sz w:val="22"/>
          <w:szCs w:val="22"/>
          <w:rtl w:val="0"/>
        </w:rPr>
        <w:t xml:space="preserve">.1 (</w:t>
      </w:r>
      <w:r w:rsidDel="00000000" w:rsidR="00000000" w:rsidRPr="00000000">
        <w:rPr>
          <w:sz w:val="22"/>
          <w:szCs w:val="22"/>
          <w:rtl w:val="0"/>
        </w:rPr>
        <w:t xml:space="preserve">internal</w:t>
      </w:r>
      <w:r w:rsidDel="00000000" w:rsidR="00000000" w:rsidRPr="00000000">
        <w:rPr>
          <w:color w:val="000000"/>
          <w:sz w:val="22"/>
          <w:szCs w:val="22"/>
          <w:rtl w:val="0"/>
        </w:rPr>
        <w:t xml:space="preserve">)</w:t>
      </w:r>
    </w:p>
    <w:p w:rsidR="00000000" w:rsidDel="00000000" w:rsidP="00000000" w:rsidRDefault="00000000" w:rsidRPr="00000000" w14:paraId="0000000C">
      <w:pPr>
        <w:ind w:left="709" w:hanging="349"/>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D">
      <w:pPr>
        <w:rPr/>
      </w:pPr>
      <w:bookmarkStart w:colFirst="0" w:colLast="0" w:name="_heading=h.60bs1134zo" w:id="1"/>
      <w:bookmarkEnd w:id="1"/>
      <w:r w:rsidDel="00000000" w:rsidR="00000000" w:rsidRPr="00000000">
        <w:rPr>
          <w:sz w:val="22"/>
          <w:szCs w:val="22"/>
          <w:rtl w:val="0"/>
        </w:rPr>
        <w:t xml:space="preserve">Roma Entrepreneurship Development Initiative REDI Türkiye</w:t>
      </w:r>
      <w:r w:rsidDel="00000000" w:rsidR="00000000" w:rsidRPr="00000000">
        <w:rPr>
          <w:rtl w:val="0"/>
        </w:rPr>
      </w:r>
    </w:p>
    <w:p w:rsidR="00000000" w:rsidDel="00000000" w:rsidP="00000000" w:rsidRDefault="00000000" w:rsidRPr="00000000" w14:paraId="0000000E">
      <w:pPr>
        <w:rPr>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7"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F">
      <w:pPr>
        <w:jc w:val="center"/>
        <w:rPr>
          <w:b w:val="1"/>
          <w:sz w:val="28"/>
          <w:szCs w:val="28"/>
        </w:rPr>
      </w:pPr>
      <w:r w:rsidDel="00000000" w:rsidR="00000000" w:rsidRPr="00000000">
        <w:rPr>
          <w:rtl w:val="0"/>
        </w:rPr>
      </w:r>
    </w:p>
    <w:p w:rsidR="00000000" w:rsidDel="00000000" w:rsidP="00000000" w:rsidRDefault="00000000" w:rsidRPr="00000000" w14:paraId="00000010">
      <w:pPr>
        <w:jc w:val="center"/>
        <w:rPr>
          <w:b w:val="1"/>
          <w:sz w:val="28"/>
          <w:szCs w:val="28"/>
        </w:rPr>
      </w:pPr>
      <w:r w:rsidDel="00000000" w:rsidR="00000000" w:rsidRPr="00000000">
        <w:rPr>
          <w:b w:val="1"/>
          <w:sz w:val="28"/>
          <w:szCs w:val="28"/>
          <w:rtl w:val="0"/>
        </w:rPr>
        <w:t xml:space="preserve">CONTRACT SPECIFICATION</w:t>
      </w:r>
    </w:p>
    <w:p w:rsidR="00000000" w:rsidDel="00000000" w:rsidP="00000000" w:rsidRDefault="00000000" w:rsidRPr="00000000" w14:paraId="00000011">
      <w:pPr>
        <w:jc w:val="center"/>
        <w:rPr>
          <w:sz w:val="28"/>
          <w:szCs w:val="28"/>
        </w:rPr>
      </w:pPr>
      <w:r w:rsidDel="00000000" w:rsidR="00000000" w:rsidRPr="00000000">
        <w:rPr>
          <w:rtl w:val="0"/>
        </w:rPr>
      </w:r>
    </w:p>
    <w:p w:rsidR="00000000" w:rsidDel="00000000" w:rsidP="00000000" w:rsidRDefault="00000000" w:rsidRPr="00000000" w14:paraId="00000012">
      <w:pPr>
        <w:ind w:left="709" w:hanging="349"/>
        <w:rPr>
          <w:sz w:val="22"/>
          <w:szCs w:val="22"/>
        </w:rPr>
      </w:pPr>
      <w:r w:rsidDel="00000000" w:rsidR="00000000" w:rsidRPr="00000000">
        <w:rPr>
          <w:b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Fee-based</w:t>
      </w:r>
      <w:r w:rsidDel="00000000" w:rsidR="00000000" w:rsidRPr="00000000">
        <w:rPr>
          <w:rtl w:val="0"/>
        </w:rPr>
      </w:r>
    </w:p>
    <w:p w:rsidR="00000000" w:rsidDel="00000000" w:rsidP="00000000" w:rsidRDefault="00000000" w:rsidRPr="00000000" w14:paraId="00000014">
      <w:pPr>
        <w:ind w:left="709" w:hanging="352"/>
        <w:rPr>
          <w:sz w:val="22"/>
          <w:szCs w:val="22"/>
        </w:rPr>
      </w:pPr>
      <w:r w:rsidDel="00000000" w:rsidR="00000000" w:rsidRPr="00000000">
        <w:rPr>
          <w:b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360" w:right="360" w:firstLine="0"/>
        <w:jc w:val="both"/>
        <w:rPr>
          <w:sz w:val="22"/>
          <w:szCs w:val="22"/>
        </w:rPr>
      </w:pPr>
      <w:r w:rsidDel="00000000" w:rsidR="00000000" w:rsidRPr="00000000">
        <w:rPr>
          <w:color w:val="000000"/>
          <w:sz w:val="22"/>
          <w:szCs w:val="22"/>
          <w:rtl w:val="0"/>
        </w:rPr>
        <w:t xml:space="preserve">The objective of this initiative is to support and foster Roma entrepreneurship through one</w:t>
      </w:r>
      <w:r w:rsidDel="00000000" w:rsidR="00000000" w:rsidRPr="00000000">
        <w:rPr>
          <w:sz w:val="22"/>
          <w:szCs w:val="22"/>
          <w:rtl w:val="0"/>
        </w:rPr>
        <w:t xml:space="preserve">-on-one mentorship </w:t>
      </w:r>
      <w:r w:rsidDel="00000000" w:rsidR="00000000" w:rsidRPr="00000000">
        <w:rPr>
          <w:color w:val="000000"/>
          <w:sz w:val="22"/>
          <w:szCs w:val="22"/>
          <w:rtl w:val="0"/>
        </w:rPr>
        <w:t xml:space="preserve">programs. One-on-one men</w:t>
      </w:r>
      <w:r w:rsidDel="00000000" w:rsidR="00000000" w:rsidRPr="00000000">
        <w:rPr>
          <w:sz w:val="22"/>
          <w:szCs w:val="22"/>
          <w:rtl w:val="0"/>
        </w:rPr>
        <w:t xml:space="preserve">torship sessions</w:t>
      </w:r>
      <w:r w:rsidDel="00000000" w:rsidR="00000000" w:rsidRPr="00000000">
        <w:rPr>
          <w:color w:val="000000"/>
          <w:sz w:val="22"/>
          <w:szCs w:val="22"/>
          <w:rtl w:val="0"/>
        </w:rPr>
        <w:t xml:space="preserve"> </w:t>
      </w:r>
      <w:r w:rsidDel="00000000" w:rsidR="00000000" w:rsidRPr="00000000">
        <w:rPr>
          <w:sz w:val="22"/>
          <w:szCs w:val="22"/>
          <w:rtl w:val="0"/>
        </w:rPr>
        <w:t xml:space="preserve">are tailored to meet the specific needs of entrepreneurs at different stages of their business journey. These sessions provide individualized guidance from business facilitators and experts. Each session is structured around clear objectives and measurable outcomes to ensure practical and applicable learning. Meetings can be conducted in person or online, offering flexibility and convenience. Entrepreneurs will also benefit from continuous guidance, additional resources, and networking opportunities. Mentorship programs are divided in different topics, and will be implemented in accordance with the entrepreneurs’ needs. Topics that are included are:</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0" w:right="360" w:firstLine="0"/>
        <w:jc w:val="both"/>
        <w:rPr>
          <w:color w:val="ff0000"/>
          <w:sz w:val="22"/>
          <w:szCs w:val="22"/>
          <w:highlight w:val="yellow"/>
        </w:rPr>
      </w:pPr>
      <w:r w:rsidDel="00000000" w:rsidR="00000000" w:rsidRPr="00000000">
        <w:rPr>
          <w:rtl w:val="0"/>
        </w:rPr>
      </w:r>
    </w:p>
    <w:p w:rsidR="00000000" w:rsidDel="00000000" w:rsidP="00000000" w:rsidRDefault="00000000" w:rsidRPr="00000000" w14:paraId="00000017">
      <w:pPr>
        <w:numPr>
          <w:ilvl w:val="0"/>
          <w:numId w:val="2"/>
        </w:numPr>
        <w:spacing w:after="0" w:afterAutospacing="0"/>
        <w:ind w:left="720" w:right="360" w:hanging="360"/>
        <w:jc w:val="both"/>
        <w:rPr>
          <w:sz w:val="22"/>
          <w:szCs w:val="22"/>
          <w:u w:val="none"/>
        </w:rPr>
      </w:pPr>
      <w:r w:rsidDel="00000000" w:rsidR="00000000" w:rsidRPr="00000000">
        <w:rPr>
          <w:sz w:val="22"/>
          <w:szCs w:val="22"/>
          <w:rtl w:val="0"/>
        </w:rPr>
        <w:t xml:space="preserve">Legal Support for Business Expansion</w:t>
      </w:r>
    </w:p>
    <w:p w:rsidR="00000000" w:rsidDel="00000000" w:rsidP="00000000" w:rsidRDefault="00000000" w:rsidRPr="00000000" w14:paraId="00000018">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 Personal Growth and Development Coaching</w:t>
      </w:r>
    </w:p>
    <w:p w:rsidR="00000000" w:rsidDel="00000000" w:rsidP="00000000" w:rsidRDefault="00000000" w:rsidRPr="00000000" w14:paraId="00000019">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Access to New Markets &amp; Export Readiness</w:t>
      </w:r>
    </w:p>
    <w:p w:rsidR="00000000" w:rsidDel="00000000" w:rsidP="00000000" w:rsidRDefault="00000000" w:rsidRPr="00000000" w14:paraId="0000001A">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Accounting Services</w:t>
      </w:r>
    </w:p>
    <w:p w:rsidR="00000000" w:rsidDel="00000000" w:rsidP="00000000" w:rsidRDefault="00000000" w:rsidRPr="00000000" w14:paraId="0000001B">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Advanced Digital Marketing &amp; Branding</w:t>
      </w:r>
    </w:p>
    <w:p w:rsidR="00000000" w:rsidDel="00000000" w:rsidP="00000000" w:rsidRDefault="00000000" w:rsidRPr="00000000" w14:paraId="0000001C">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Business Planning and Strategy Development</w:t>
      </w:r>
    </w:p>
    <w:p w:rsidR="00000000" w:rsidDel="00000000" w:rsidP="00000000" w:rsidRDefault="00000000" w:rsidRPr="00000000" w14:paraId="0000001D">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Company Registration &amp; Legal Compliance</w:t>
      </w:r>
    </w:p>
    <w:p w:rsidR="00000000" w:rsidDel="00000000" w:rsidP="00000000" w:rsidRDefault="00000000" w:rsidRPr="00000000" w14:paraId="0000001E">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Cooperative Planning and Strategy Development</w:t>
      </w:r>
    </w:p>
    <w:p w:rsidR="00000000" w:rsidDel="00000000" w:rsidP="00000000" w:rsidRDefault="00000000" w:rsidRPr="00000000" w14:paraId="0000001F">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E-sales mentorship</w:t>
      </w:r>
    </w:p>
    <w:p w:rsidR="00000000" w:rsidDel="00000000" w:rsidP="00000000" w:rsidRDefault="00000000" w:rsidRPr="00000000" w14:paraId="00000020">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ESG (Environmental, Social, and Governance) Mentorship</w:t>
      </w:r>
    </w:p>
    <w:p w:rsidR="00000000" w:rsidDel="00000000" w:rsidP="00000000" w:rsidRDefault="00000000" w:rsidRPr="00000000" w14:paraId="00000021">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Financial Management</w:t>
      </w:r>
    </w:p>
    <w:p w:rsidR="00000000" w:rsidDel="00000000" w:rsidP="00000000" w:rsidRDefault="00000000" w:rsidRPr="00000000" w14:paraId="00000022">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Grant Proposal Writing &amp; Fundraising</w:t>
      </w:r>
    </w:p>
    <w:p w:rsidR="00000000" w:rsidDel="00000000" w:rsidP="00000000" w:rsidRDefault="00000000" w:rsidRPr="00000000" w14:paraId="00000023">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Legal Support for Business Expansion</w:t>
      </w:r>
    </w:p>
    <w:p w:rsidR="00000000" w:rsidDel="00000000" w:rsidP="00000000" w:rsidRDefault="00000000" w:rsidRPr="00000000" w14:paraId="00000024">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Loan and Investment Readiness</w:t>
      </w:r>
    </w:p>
    <w:p w:rsidR="00000000" w:rsidDel="00000000" w:rsidP="00000000" w:rsidRDefault="00000000" w:rsidRPr="00000000" w14:paraId="00000025">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Operational Efficiency &amp; Business Scaling</w:t>
      </w:r>
    </w:p>
    <w:p w:rsidR="00000000" w:rsidDel="00000000" w:rsidP="00000000" w:rsidRDefault="00000000" w:rsidRPr="00000000" w14:paraId="00000026">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Personal Growth and Development Coaching</w:t>
      </w:r>
    </w:p>
    <w:p w:rsidR="00000000" w:rsidDel="00000000" w:rsidP="00000000" w:rsidRDefault="00000000" w:rsidRPr="00000000" w14:paraId="00000027">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Pitching and Business Etiquette</w:t>
      </w:r>
    </w:p>
    <w:p w:rsidR="00000000" w:rsidDel="00000000" w:rsidP="00000000" w:rsidRDefault="00000000" w:rsidRPr="00000000" w14:paraId="00000028">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Sales &amp; Business Development Coaching</w:t>
      </w:r>
    </w:p>
    <w:p w:rsidR="00000000" w:rsidDel="00000000" w:rsidP="00000000" w:rsidRDefault="00000000" w:rsidRPr="00000000" w14:paraId="00000029">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Social Impact &amp; Corporate Responsibility</w:t>
      </w:r>
    </w:p>
    <w:p w:rsidR="00000000" w:rsidDel="00000000" w:rsidP="00000000" w:rsidRDefault="00000000" w:rsidRPr="00000000" w14:paraId="0000002A">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Workforce Development &amp; HR Support</w:t>
      </w:r>
    </w:p>
    <w:p w:rsidR="00000000" w:rsidDel="00000000" w:rsidP="00000000" w:rsidRDefault="00000000" w:rsidRPr="00000000" w14:paraId="0000002B">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International trade and export</w:t>
      </w:r>
    </w:p>
    <w:p w:rsidR="00000000" w:rsidDel="00000000" w:rsidP="00000000" w:rsidRDefault="00000000" w:rsidRPr="00000000" w14:paraId="0000002C">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Sales, marketing and communication techniques</w:t>
      </w:r>
    </w:p>
    <w:p w:rsidR="00000000" w:rsidDel="00000000" w:rsidP="00000000" w:rsidRDefault="00000000" w:rsidRPr="00000000" w14:paraId="0000002D">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Hygiene in the food industry and food safety</w:t>
      </w:r>
    </w:p>
    <w:p w:rsidR="00000000" w:rsidDel="00000000" w:rsidP="00000000" w:rsidRDefault="00000000" w:rsidRPr="00000000" w14:paraId="0000002E">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Quality Management Trainings</w:t>
      </w:r>
    </w:p>
    <w:p w:rsidR="00000000" w:rsidDel="00000000" w:rsidP="00000000" w:rsidRDefault="00000000" w:rsidRPr="00000000" w14:paraId="0000002F">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Social Media management</w:t>
      </w:r>
    </w:p>
    <w:p w:rsidR="00000000" w:rsidDel="00000000" w:rsidP="00000000" w:rsidRDefault="00000000" w:rsidRPr="00000000" w14:paraId="00000030">
      <w:pPr>
        <w:numPr>
          <w:ilvl w:val="0"/>
          <w:numId w:val="2"/>
        </w:numPr>
        <w:spacing w:after="0" w:afterAutospacing="0" w:before="0" w:beforeAutospacing="0"/>
        <w:ind w:left="720" w:right="360" w:hanging="360"/>
        <w:jc w:val="both"/>
        <w:rPr>
          <w:sz w:val="22"/>
          <w:szCs w:val="22"/>
          <w:u w:val="none"/>
        </w:rPr>
      </w:pPr>
      <w:r w:rsidDel="00000000" w:rsidR="00000000" w:rsidRPr="00000000">
        <w:rPr>
          <w:sz w:val="22"/>
          <w:szCs w:val="22"/>
          <w:rtl w:val="0"/>
        </w:rPr>
        <w:t xml:space="preserve">Product Development and Innovation</w:t>
      </w:r>
    </w:p>
    <w:p w:rsidR="00000000" w:rsidDel="00000000" w:rsidP="00000000" w:rsidRDefault="00000000" w:rsidRPr="00000000" w14:paraId="00000031">
      <w:pPr>
        <w:numPr>
          <w:ilvl w:val="0"/>
          <w:numId w:val="2"/>
        </w:numPr>
        <w:spacing w:before="0" w:beforeAutospacing="0"/>
        <w:ind w:left="720" w:right="360" w:hanging="360"/>
        <w:jc w:val="both"/>
        <w:rPr>
          <w:sz w:val="22"/>
          <w:szCs w:val="22"/>
          <w:u w:val="none"/>
        </w:rPr>
      </w:pPr>
      <w:r w:rsidDel="00000000" w:rsidR="00000000" w:rsidRPr="00000000">
        <w:rPr>
          <w:sz w:val="22"/>
          <w:szCs w:val="22"/>
          <w:rtl w:val="0"/>
        </w:rPr>
        <w:t xml:space="preserve">Customer relationship Management</w:t>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360" w:right="360" w:firstLine="0"/>
        <w:jc w:val="both"/>
        <w:rPr>
          <w:i w:val="1"/>
          <w:sz w:val="22"/>
          <w:szCs w:val="22"/>
        </w:rPr>
      </w:pPr>
      <w:r w:rsidDel="00000000" w:rsidR="00000000" w:rsidRPr="00000000">
        <w:rPr>
          <w:rtl w:val="0"/>
        </w:rPr>
      </w:r>
    </w:p>
    <w:p w:rsidR="00000000" w:rsidDel="00000000" w:rsidP="00000000" w:rsidRDefault="00000000" w:rsidRPr="00000000" w14:paraId="00000033">
      <w:pPr>
        <w:ind w:left="709" w:hanging="349"/>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34">
      <w:pPr>
        <w:ind w:left="709" w:hanging="349"/>
        <w:rPr>
          <w:sz w:val="22"/>
          <w:szCs w:val="22"/>
          <w:highlight w:val="white"/>
        </w:rPr>
      </w:pPr>
      <w:r w:rsidDel="00000000" w:rsidR="00000000" w:rsidRPr="00000000">
        <w:rPr>
          <w:sz w:val="22"/>
          <w:szCs w:val="22"/>
          <w:highlight w:val="white"/>
          <w:rtl w:val="0"/>
        </w:rPr>
        <w:t xml:space="preserve">Five (5)</w:t>
      </w:r>
    </w:p>
    <w:p w:rsidR="00000000" w:rsidDel="00000000" w:rsidP="00000000" w:rsidRDefault="00000000" w:rsidRPr="00000000" w14:paraId="00000035">
      <w:pPr>
        <w:ind w:left="709" w:hanging="349"/>
        <w:rPr>
          <w:sz w:val="22"/>
          <w:szCs w:val="22"/>
        </w:rPr>
      </w:pPr>
      <w:r w:rsidDel="00000000" w:rsidR="00000000" w:rsidRPr="00000000">
        <w:rPr>
          <w:rtl w:val="0"/>
        </w:rPr>
      </w:r>
    </w:p>
    <w:p w:rsidR="00000000" w:rsidDel="00000000" w:rsidP="00000000" w:rsidRDefault="00000000" w:rsidRPr="00000000" w14:paraId="00000036">
      <w:pPr>
        <w:ind w:left="709" w:hanging="349"/>
        <w:rPr>
          <w:b w:val="1"/>
          <w:sz w:val="22"/>
          <w:szCs w:val="22"/>
        </w:rPr>
      </w:pPr>
      <w:r w:rsidDel="00000000" w:rsidR="00000000" w:rsidRPr="00000000">
        <w:rPr>
          <w:b w:val="1"/>
          <w:sz w:val="22"/>
          <w:szCs w:val="22"/>
          <w:rtl w:val="0"/>
        </w:rPr>
        <w:t xml:space="preserve">9. </w:t>
        <w:tab/>
        <w:t xml:space="preserve">Maximum budget</w:t>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360" w:right="360" w:firstLine="0"/>
        <w:jc w:val="both"/>
        <w:rPr>
          <w:color w:val="000000"/>
          <w:sz w:val="22"/>
          <w:szCs w:val="22"/>
          <w:highlight w:val="yellow"/>
        </w:rPr>
      </w:pPr>
      <w:r w:rsidDel="00000000" w:rsidR="00000000" w:rsidRPr="00000000">
        <w:rPr>
          <w:sz w:val="22"/>
          <w:szCs w:val="22"/>
          <w:rtl w:val="0"/>
        </w:rPr>
        <w:t xml:space="preserve">Fee-based Contract</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6"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9">
      <w:pPr>
        <w:jc w:val="center"/>
        <w:rPr>
          <w:sz w:val="28"/>
          <w:szCs w:val="28"/>
        </w:rPr>
      </w:pPr>
      <w:r w:rsidDel="00000000" w:rsidR="00000000" w:rsidRPr="00000000">
        <w:rPr>
          <w:b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firstLine="426"/>
        <w:rPr>
          <w:b w:val="1"/>
          <w:color w:val="000000"/>
          <w:sz w:val="22"/>
          <w:szCs w:val="22"/>
        </w:rPr>
      </w:pPr>
      <w:r w:rsidDel="00000000" w:rsidR="00000000" w:rsidRPr="00000000">
        <w:rPr>
          <w:b w:val="1"/>
          <w:color w:val="000000"/>
          <w:sz w:val="22"/>
          <w:szCs w:val="22"/>
          <w:rtl w:val="0"/>
        </w:rPr>
        <w:t xml:space="preserve">10. Legal basis, eligibility and rules of origin</w:t>
      </w:r>
    </w:p>
    <w:p w:rsidR="00000000" w:rsidDel="00000000" w:rsidP="00000000" w:rsidRDefault="00000000" w:rsidRPr="00000000" w14:paraId="0000003B">
      <w:pPr>
        <w:pBdr>
          <w:top w:space="0" w:sz="0" w:val="nil"/>
          <w:left w:space="0" w:sz="0" w:val="nil"/>
          <w:bottom w:space="0" w:sz="0" w:val="nil"/>
          <w:right w:space="0" w:sz="0" w:val="nil"/>
          <w:between w:space="0" w:sz="0" w:val="nil"/>
        </w:pBdr>
        <w:ind w:firstLine="426"/>
        <w:rPr>
          <w:b w:val="1"/>
          <w:color w:val="000000"/>
          <w:sz w:val="22"/>
          <w:szCs w:val="22"/>
        </w:rPr>
      </w:pPr>
      <w:r w:rsidDel="00000000" w:rsidR="00000000" w:rsidRPr="00000000">
        <w:rPr>
          <w:rtl w:val="0"/>
        </w:rPr>
      </w:r>
    </w:p>
    <w:p w:rsidR="00000000" w:rsidDel="00000000" w:rsidP="00000000" w:rsidRDefault="00000000" w:rsidRPr="00000000" w14:paraId="0000003C">
      <w:pPr>
        <w:spacing w:after="0" w:lineRule="auto"/>
        <w:ind w:left="426" w:firstLine="0"/>
        <w:jc w:val="both"/>
        <w:rPr>
          <w:sz w:val="22"/>
          <w:szCs w:val="22"/>
        </w:rPr>
      </w:pPr>
      <w:r w:rsidDel="00000000" w:rsidR="00000000" w:rsidRPr="00000000">
        <w:rPr>
          <w:sz w:val="22"/>
          <w:szCs w:val="22"/>
          <w:rtl w:val="0"/>
        </w:rPr>
        <w:t xml:space="preserve">[For </w:t>
      </w:r>
      <w:r w:rsidDel="00000000" w:rsidR="00000000" w:rsidRPr="00000000">
        <w:rPr>
          <w:i w:val="1"/>
          <w:sz w:val="22"/>
          <w:szCs w:val="22"/>
          <w:rtl w:val="0"/>
        </w:rPr>
        <w:t xml:space="preserve"> </w:t>
      </w:r>
      <w:r w:rsidDel="00000000" w:rsidR="00000000" w:rsidRPr="00000000">
        <w:rPr>
          <w:sz w:val="22"/>
          <w:szCs w:val="22"/>
          <w:rtl w:val="0"/>
        </w:rPr>
        <w:t xml:space="preserve">IPA III/2024/457-197/TK-008</w:t>
      </w:r>
      <w:r w:rsidDel="00000000" w:rsidR="00000000" w:rsidRPr="00000000">
        <w:rPr>
          <w:rtl w:val="0"/>
        </w:rPr>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0" w:before="0" w:lineRule="auto"/>
        <w:ind w:left="426" w:firstLine="0"/>
        <w:jc w:val="both"/>
        <w:rPr>
          <w:rFonts w:ascii="Quattrocento Sans" w:cs="Quattrocento Sans" w:eastAsia="Quattrocento Sans" w:hAnsi="Quattrocento Sans"/>
          <w:color w:val="000000"/>
          <w:sz w:val="22"/>
          <w:szCs w:val="22"/>
        </w:rPr>
      </w:pPr>
      <w:r w:rsidDel="00000000" w:rsidR="00000000" w:rsidRPr="00000000">
        <w:rPr>
          <w:color w:val="000000"/>
          <w:sz w:val="22"/>
          <w:szCs w:val="22"/>
          <w:rtl w:val="0"/>
        </w:rPr>
        <w:t xml:space="preserve">The legal basis of this procedure is &lt;Regulation (EU) No [1529] establishing the Instrument for Pre-accession Assistance (IPA III)&gt;. </w:t>
      </w:r>
      <w:r w:rsidDel="00000000" w:rsidR="00000000" w:rsidRPr="00000000">
        <w:rPr>
          <w:color w:val="000000"/>
          <w:rtl w:val="0"/>
        </w:rPr>
        <w:t xml:space="preserve">S</w:t>
      </w:r>
      <w:r w:rsidDel="00000000" w:rsidR="00000000" w:rsidRPr="00000000">
        <w:rPr>
          <w:color w:val="000000"/>
          <w:sz w:val="22"/>
          <w:szCs w:val="22"/>
          <w:rtl w:val="0"/>
        </w:rPr>
        <w:t xml:space="preserve">ee Annex A2 of the practical guide.</w:t>
      </w:r>
      <w:r w:rsidDel="00000000" w:rsidR="00000000" w:rsidRPr="00000000">
        <w:rPr>
          <w:rtl w:val="0"/>
        </w:rPr>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 ]</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color w:val="000000"/>
          <w:sz w:val="22"/>
          <w:szCs w:val="22"/>
          <w:rtl w:val="0"/>
        </w:rPr>
        <w:t xml:space="preserve">Participation in this procurement procedure is open on equal terms to all natural and legal persons falling within the scope of the Treaties. </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0" w:before="0" w:lineRule="auto"/>
        <w:ind w:left="426" w:firstLine="0"/>
        <w:jc w:val="both"/>
        <w:rPr>
          <w:color w:val="000000"/>
          <w:sz w:val="22"/>
          <w:szCs w:val="22"/>
        </w:rPr>
      </w:pPr>
      <w:r w:rsidDel="00000000" w:rsidR="00000000" w:rsidRPr="00000000">
        <w:rPr>
          <w:rtl w:val="0"/>
        </w:rPr>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0" w:before="0" w:lineRule="auto"/>
        <w:ind w:left="426" w:firstLine="0"/>
        <w:jc w:val="both"/>
        <w:rPr>
          <w:rFonts w:ascii="Calibri" w:cs="Calibri" w:eastAsia="Calibri" w:hAnsi="Calibri"/>
          <w:color w:val="000000"/>
          <w:sz w:val="22"/>
          <w:szCs w:val="22"/>
        </w:rPr>
      </w:pPr>
      <w:r w:rsidDel="00000000" w:rsidR="00000000" w:rsidRPr="00000000">
        <w:rPr>
          <w:color w:val="000000"/>
          <w:sz w:val="22"/>
          <w:szCs w:val="22"/>
          <w:rtl w:val="0"/>
        </w:rPr>
        <w:t xml:space="preserve">Participation is also open to international organisations.]]</w:t>
      </w:r>
      <w:r w:rsidDel="00000000" w:rsidR="00000000" w:rsidRPr="00000000">
        <w:rPr>
          <w:rtl w:val="0"/>
        </w:rPr>
      </w:r>
    </w:p>
    <w:p w:rsidR="00000000" w:rsidDel="00000000" w:rsidP="00000000" w:rsidRDefault="00000000" w:rsidRPr="00000000" w14:paraId="00000044">
      <w:pPr>
        <w:ind w:left="709" w:hanging="349"/>
        <w:rPr>
          <w:b w:val="1"/>
          <w:sz w:val="22"/>
          <w:szCs w:val="22"/>
        </w:rPr>
      </w:pPr>
      <w:r w:rsidDel="00000000" w:rsidR="00000000" w:rsidRPr="00000000">
        <w:rPr>
          <w:rtl w:val="0"/>
        </w:rPr>
      </w:r>
    </w:p>
    <w:p w:rsidR="00000000" w:rsidDel="00000000" w:rsidP="00000000" w:rsidRDefault="00000000" w:rsidRPr="00000000" w14:paraId="00000045">
      <w:pPr>
        <w:ind w:left="709" w:hanging="349"/>
        <w:rPr>
          <w:sz w:val="22"/>
          <w:szCs w:val="22"/>
        </w:rPr>
      </w:pPr>
      <w:bookmarkStart w:colFirst="0" w:colLast="0" w:name="_heading=h.qitkqcf65pps" w:id="2"/>
      <w:bookmarkEnd w:id="2"/>
      <w:r w:rsidDel="00000000" w:rsidR="00000000" w:rsidRPr="00000000">
        <w:rPr>
          <w:b w:val="1"/>
          <w:sz w:val="22"/>
          <w:szCs w:val="22"/>
          <w:rtl w:val="0"/>
        </w:rPr>
        <w:t xml:space="preserve">11. </w:t>
        <w:tab/>
        <w:t xml:space="preserve">Number of tenders</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rtl w:val="0"/>
        </w:rPr>
      </w:r>
    </w:p>
    <w:p w:rsidR="00000000" w:rsidDel="00000000" w:rsidP="00000000" w:rsidRDefault="00000000" w:rsidRPr="00000000" w14:paraId="00000048">
      <w:pPr>
        <w:ind w:left="709" w:hanging="349"/>
        <w:rPr>
          <w:sz w:val="22"/>
          <w:szCs w:val="22"/>
        </w:rPr>
      </w:pPr>
      <w:r w:rsidDel="00000000" w:rsidR="00000000" w:rsidRPr="00000000">
        <w:rPr>
          <w:b w:val="1"/>
          <w:sz w:val="22"/>
          <w:szCs w:val="22"/>
          <w:rtl w:val="0"/>
        </w:rPr>
        <w:t xml:space="preserve">12. </w:t>
        <w:tab/>
        <w:t xml:space="preserve">Grounds for exclusion</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4B">
      <w:pPr>
        <w:ind w:left="709" w:hanging="349"/>
        <w:rPr>
          <w:sz w:val="22"/>
          <w:szCs w:val="22"/>
        </w:rPr>
      </w:pPr>
      <w:r w:rsidDel="00000000" w:rsidR="00000000" w:rsidRPr="00000000">
        <w:rPr>
          <w:b w:val="1"/>
          <w:sz w:val="22"/>
          <w:szCs w:val="22"/>
          <w:rtl w:val="0"/>
        </w:rPr>
        <w:t xml:space="preserve">13. </w:t>
        <w:tab/>
        <w:t xml:space="preserve">Sub-contracting</w:t>
      </w:r>
      <w:r w:rsidDel="00000000" w:rsidR="00000000" w:rsidRPr="00000000">
        <w:rPr>
          <w:rtl w:val="0"/>
        </w:rPr>
      </w:r>
    </w:p>
    <w:p w:rsidR="00000000" w:rsidDel="00000000" w:rsidP="00000000" w:rsidRDefault="00000000" w:rsidRPr="00000000" w14:paraId="0000004C">
      <w:pPr>
        <w:ind w:left="709" w:hanging="349"/>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4D">
      <w:pPr>
        <w:keepNext w:val="1"/>
        <w:jc w:val="center"/>
        <w:rPr>
          <w:sz w:val="28"/>
          <w:szCs w:val="28"/>
        </w:rPr>
      </w:pPr>
      <w:r w:rsidDel="00000000" w:rsidR="00000000" w:rsidRPr="00000000">
        <w:rPr>
          <w:b w:val="1"/>
          <w:sz w:val="28"/>
          <w:szCs w:val="28"/>
          <w:rtl w:val="0"/>
        </w:rPr>
        <w:t xml:space="preserve">PROVISIONAL TIMETABLE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9" name=""/>
                <a:graphic>
                  <a:graphicData uri="http://schemas.microsoft.com/office/word/2010/wordprocessingShape">
                    <wps:wsp>
                      <wps:cNvCnPr/>
                      <wps:spPr>
                        <a:xfrm>
                          <a:off x="2374200" y="3779682"/>
                          <a:ext cx="5943600" cy="636"/>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4E">
      <w:pPr>
        <w:ind w:left="709" w:hanging="349"/>
        <w:rPr>
          <w:sz w:val="22"/>
          <w:szCs w:val="22"/>
        </w:rPr>
      </w:pPr>
      <w:r w:rsidDel="00000000" w:rsidR="00000000" w:rsidRPr="00000000">
        <w:rPr>
          <w:b w:val="1"/>
          <w:sz w:val="22"/>
          <w:szCs w:val="22"/>
          <w:rtl w:val="0"/>
        </w:rPr>
        <w:t xml:space="preserve">14. </w:t>
        <w:tab/>
        <w:t xml:space="preserve">Provisional commencement date of the contract</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&lt; </w:t>
      </w:r>
      <w:r w:rsidDel="00000000" w:rsidR="00000000" w:rsidRPr="00000000">
        <w:rPr>
          <w:sz w:val="22"/>
          <w:szCs w:val="22"/>
          <w:rtl w:val="0"/>
        </w:rPr>
        <w:t xml:space="preserve">25</w:t>
      </w:r>
      <w:r w:rsidDel="00000000" w:rsidR="00000000" w:rsidRPr="00000000">
        <w:rPr>
          <w:color w:val="000000"/>
          <w:sz w:val="22"/>
          <w:szCs w:val="22"/>
          <w:rtl w:val="0"/>
        </w:rPr>
        <w:t xml:space="preserve">/0</w:t>
      </w:r>
      <w:r w:rsidDel="00000000" w:rsidR="00000000" w:rsidRPr="00000000">
        <w:rPr>
          <w:sz w:val="22"/>
          <w:szCs w:val="22"/>
          <w:rtl w:val="0"/>
        </w:rPr>
        <w:t xml:space="preserve">8</w:t>
      </w:r>
      <w:r w:rsidDel="00000000" w:rsidR="00000000" w:rsidRPr="00000000">
        <w:rPr>
          <w:color w:val="000000"/>
          <w:sz w:val="22"/>
          <w:szCs w:val="22"/>
          <w:rtl w:val="0"/>
        </w:rPr>
        <w:t xml:space="preserve">/2025 &gt;</w:t>
      </w:r>
      <w:r w:rsidDel="00000000" w:rsidR="00000000" w:rsidRPr="00000000">
        <w:rPr>
          <w:rtl w:val="0"/>
        </w:rPr>
      </w:r>
    </w:p>
    <w:p w:rsidR="00000000" w:rsidDel="00000000" w:rsidP="00000000" w:rsidRDefault="00000000" w:rsidRPr="00000000" w14:paraId="00000050">
      <w:pPr>
        <w:ind w:left="709" w:hanging="349"/>
        <w:rPr>
          <w:sz w:val="22"/>
          <w:szCs w:val="22"/>
        </w:rPr>
      </w:pPr>
      <w:r w:rsidDel="00000000" w:rsidR="00000000" w:rsidRPr="00000000">
        <w:rPr>
          <w:b w:val="1"/>
          <w:sz w:val="22"/>
          <w:szCs w:val="22"/>
          <w:rtl w:val="0"/>
        </w:rPr>
        <w:t xml:space="preserve">15. </w:t>
        <w:tab/>
        <w:t xml:space="preserve">Implementation period of the tasks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360" w:right="360" w:firstLine="0"/>
        <w:jc w:val="both"/>
        <w:rPr>
          <w:sz w:val="22"/>
          <w:szCs w:val="22"/>
        </w:rPr>
      </w:pPr>
      <w:r w:rsidDel="00000000" w:rsidR="00000000" w:rsidRPr="00000000">
        <w:rPr>
          <w:color w:val="000000"/>
          <w:sz w:val="22"/>
          <w:szCs w:val="22"/>
          <w:rtl w:val="0"/>
        </w:rPr>
        <w:t xml:space="preserve">&lt; </w:t>
      </w:r>
      <w:r w:rsidDel="00000000" w:rsidR="00000000" w:rsidRPr="00000000">
        <w:rPr>
          <w:sz w:val="22"/>
          <w:szCs w:val="22"/>
          <w:rtl w:val="0"/>
        </w:rPr>
        <w:t xml:space="preserve">24 months </w:t>
      </w:r>
      <w:r w:rsidDel="00000000" w:rsidR="00000000" w:rsidRPr="00000000">
        <w:rPr>
          <w:color w:val="000000"/>
          <w:sz w:val="22"/>
          <w:szCs w:val="22"/>
          <w:rtl w:val="0"/>
        </w:rPr>
        <w:t xml:space="preserve">&gt;</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8"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52">
      <w:pPr>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p>
    <w:p w:rsidR="00000000" w:rsidDel="00000000" w:rsidP="00000000" w:rsidRDefault="00000000" w:rsidRPr="00000000" w14:paraId="00000053">
      <w:pPr>
        <w:ind w:left="709" w:hanging="349"/>
        <w:rPr>
          <w:b w:val="1"/>
          <w:sz w:val="22"/>
          <w:szCs w:val="22"/>
        </w:rPr>
      </w:pPr>
      <w:r w:rsidDel="00000000" w:rsidR="00000000" w:rsidRPr="00000000">
        <w:rPr>
          <w:b w:val="1"/>
          <w:sz w:val="22"/>
          <w:szCs w:val="22"/>
          <w:rtl w:val="0"/>
        </w:rPr>
        <w:t xml:space="preserve">16. </w:t>
        <w:tab/>
        <w:t xml:space="preserve">Selection criteria</w:t>
      </w:r>
    </w:p>
    <w:p w:rsidR="00000000" w:rsidDel="00000000" w:rsidP="00000000" w:rsidRDefault="00000000" w:rsidRPr="00000000" w14:paraId="00000054">
      <w:pPr>
        <w:widowControl w:val="1"/>
        <w:spacing w:after="0" w:before="240" w:lineRule="auto"/>
        <w:ind w:left="426" w:firstLine="0"/>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55">
      <w:pPr>
        <w:widowControl w:val="1"/>
        <w:spacing w:after="0" w:before="240" w:lineRule="auto"/>
        <w:ind w:left="426" w:firstLine="0"/>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56">
      <w:pPr>
        <w:widowControl w:val="1"/>
        <w:spacing w:after="0" w:before="240" w:lineRule="auto"/>
        <w:ind w:left="426" w:firstLine="0"/>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57">
      <w:pPr>
        <w:widowControl w:val="1"/>
        <w:spacing w:after="0" w:before="240" w:lineRule="auto"/>
        <w:ind w:left="426" w:firstLine="0"/>
        <w:jc w:val="both"/>
        <w:rPr>
          <w:sz w:val="22"/>
          <w:szCs w:val="22"/>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641" w:right="357" w:hanging="284"/>
        <w:jc w:val="both"/>
        <w:rPr>
          <w:color w:val="000000"/>
          <w:sz w:val="22"/>
          <w:szCs w:val="22"/>
        </w:rPr>
      </w:pPr>
      <w:r w:rsidDel="00000000" w:rsidR="00000000" w:rsidRPr="00000000">
        <w:rPr>
          <w:b w:val="1"/>
          <w:color w:val="000000"/>
          <w:sz w:val="22"/>
          <w:szCs w:val="22"/>
          <w:u w:val="single"/>
          <w:rtl w:val="0"/>
        </w:rPr>
        <w:t xml:space="preserve">1)</w:t>
        <w:tab/>
        <w:t xml:space="preserve">Economic and financial capacity of the tenderer</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based on item 3 of the tender form). In case of tenderer being a public body, equivalent information should be provided. The reference period which will be taken into account will be the last three financial years for which accounts have been closed.</w:t>
      </w:r>
    </w:p>
    <w:p w:rsidR="00000000" w:rsidDel="00000000" w:rsidP="00000000" w:rsidRDefault="00000000" w:rsidRPr="00000000" w14:paraId="0000005A">
      <w:pPr>
        <w:rPr/>
      </w:pPr>
      <w:r w:rsidDel="00000000" w:rsidR="00000000" w:rsidRPr="00000000">
        <w:rPr>
          <w:rtl w:val="0"/>
        </w:rPr>
        <w:t xml:space="preserve">The objective of this criterion is to examine whether or not the tenderer (i.e. the consortium as a whole, in the case of a tender from a consortium):</w:t>
      </w:r>
    </w:p>
    <w:p w:rsidR="00000000" w:rsidDel="00000000" w:rsidP="00000000" w:rsidRDefault="00000000" w:rsidRPr="00000000" w14:paraId="0000005B">
      <w:pPr>
        <w:numPr>
          <w:ilvl w:val="0"/>
          <w:numId w:val="1"/>
        </w:numPr>
        <w:ind w:left="360" w:hanging="360"/>
        <w:rPr/>
      </w:pPr>
      <w:r w:rsidDel="00000000" w:rsidR="00000000" w:rsidRPr="00000000">
        <w:rPr>
          <w:rtl w:val="0"/>
        </w:rPr>
        <w:t xml:space="preserve">will not be economically dependent on the contracting authority in the event that the contract is awarded to it;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0" w:lineRule="auto"/>
        <w:ind w:left="0" w:right="357" w:firstLine="0"/>
        <w:jc w:val="both"/>
        <w:rPr>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641" w:right="357" w:hanging="284"/>
        <w:jc w:val="both"/>
        <w:rPr>
          <w:color w:val="000000"/>
          <w:sz w:val="22"/>
          <w:szCs w:val="22"/>
        </w:rPr>
      </w:pPr>
      <w:r w:rsidDel="00000000" w:rsidR="00000000" w:rsidRPr="00000000">
        <w:rPr>
          <w:b w:val="1"/>
          <w:color w:val="000000"/>
          <w:sz w:val="22"/>
          <w:szCs w:val="22"/>
          <w:u w:val="single"/>
          <w:rtl w:val="0"/>
        </w:rPr>
        <w:t xml:space="preserve">2)</w:t>
      </w:r>
      <w:r w:rsidDel="00000000" w:rsidR="00000000" w:rsidRPr="00000000">
        <w:rPr>
          <w:color w:val="000000"/>
          <w:sz w:val="22"/>
          <w:szCs w:val="22"/>
          <w:u w:val="single"/>
          <w:rtl w:val="0"/>
        </w:rPr>
        <w:tab/>
      </w:r>
      <w:r w:rsidDel="00000000" w:rsidR="00000000" w:rsidRPr="00000000">
        <w:rPr>
          <w:b w:val="1"/>
          <w:color w:val="000000"/>
          <w:sz w:val="22"/>
          <w:szCs w:val="22"/>
          <w:u w:val="single"/>
          <w:rtl w:val="0"/>
        </w:rPr>
        <w:t xml:space="preserve">Professional capacity of the tenderer (</w:t>
      </w:r>
      <w:r w:rsidDel="00000000" w:rsidR="00000000" w:rsidRPr="00000000">
        <w:rPr>
          <w:color w:val="000000"/>
          <w:sz w:val="22"/>
          <w:szCs w:val="22"/>
          <w:rtl w:val="0"/>
        </w:rPr>
        <w:t xml:space="preserve">based on items 4 of the tender form).</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360" w:right="357" w:hanging="2.0000000000000284"/>
        <w:jc w:val="both"/>
        <w:rPr>
          <w:color w:val="000000"/>
          <w:sz w:val="22"/>
          <w:szCs w:val="22"/>
        </w:rPr>
      </w:pPr>
      <w:r w:rsidDel="00000000" w:rsidR="00000000" w:rsidRPr="00000000">
        <w:rPr>
          <w:color w:val="000000"/>
          <w:sz w:val="22"/>
          <w:szCs w:val="22"/>
          <w:rtl w:val="0"/>
        </w:rPr>
        <w:t xml:space="preserve">The reference period which will be taken into account will be the last three years preceding the submission deadline.</w:t>
      </w:r>
    </w:p>
    <w:p w:rsidR="00000000" w:rsidDel="00000000" w:rsidP="00000000" w:rsidRDefault="00000000" w:rsidRPr="00000000" w14:paraId="0000005F">
      <w:pPr>
        <w:rPr/>
      </w:pPr>
      <w:r w:rsidDel="00000000" w:rsidR="00000000" w:rsidRPr="00000000">
        <w:rPr>
          <w:rtl w:val="0"/>
        </w:rPr>
        <w:t xml:space="preserve">The objective of this criterion is to examine whether or not the tenderer (i.e. the consortium as a whole, in the case of a tenderer from a consortium):</w:t>
      </w:r>
    </w:p>
    <w:p w:rsidR="00000000" w:rsidDel="00000000" w:rsidP="00000000" w:rsidRDefault="00000000" w:rsidRPr="00000000" w14:paraId="00000060">
      <w:pPr>
        <w:numPr>
          <w:ilvl w:val="0"/>
          <w:numId w:val="1"/>
        </w:numPr>
        <w:ind w:left="360" w:hanging="360"/>
        <w:rPr/>
      </w:pPr>
      <w:r w:rsidDel="00000000" w:rsidR="00000000" w:rsidRPr="00000000">
        <w:rPr>
          <w:rtl w:val="0"/>
        </w:rPr>
        <w:t xml:space="preserve">has sufficient ongoing staff resources and expertise to be able to handle the proposed contract</w:t>
      </w:r>
    </w:p>
    <w:p w:rsidR="00000000" w:rsidDel="00000000" w:rsidP="00000000" w:rsidRDefault="00000000" w:rsidRPr="00000000" w14:paraId="00000061">
      <w:pPr>
        <w:numPr>
          <w:ilvl w:val="0"/>
          <w:numId w:val="1"/>
        </w:numPr>
        <w:ind w:left="360" w:hanging="360"/>
        <w:rPr/>
      </w:pPr>
      <w:r w:rsidDel="00000000" w:rsidR="00000000" w:rsidRPr="00000000">
        <w:rPr>
          <w:rtl w:val="0"/>
        </w:rPr>
        <w:t xml:space="preserve">has at least 2 years of experience in the relevant field </w:t>
      </w:r>
    </w:p>
    <w:p w:rsidR="00000000" w:rsidDel="00000000" w:rsidP="00000000" w:rsidRDefault="00000000" w:rsidRPr="00000000" w14:paraId="00000062">
      <w:pPr>
        <w:numPr>
          <w:ilvl w:val="0"/>
          <w:numId w:val="1"/>
        </w:numPr>
        <w:ind w:left="360" w:hanging="360"/>
        <w:rPr/>
      </w:pPr>
      <w:r w:rsidDel="00000000" w:rsidR="00000000" w:rsidRPr="00000000">
        <w:rPr>
          <w:rtl w:val="0"/>
        </w:rPr>
        <w:t xml:space="preserve">University degree with relevant experience.</w:t>
      </w:r>
    </w:p>
    <w:p w:rsidR="00000000" w:rsidDel="00000000" w:rsidP="00000000" w:rsidRDefault="00000000" w:rsidRPr="00000000" w14:paraId="00000063">
      <w:pPr>
        <w:numPr>
          <w:ilvl w:val="0"/>
          <w:numId w:val="1"/>
        </w:numPr>
        <w:ind w:left="360" w:hanging="360"/>
        <w:rPr/>
      </w:pPr>
      <w:r w:rsidDel="00000000" w:rsidR="00000000" w:rsidRPr="00000000">
        <w:rPr>
          <w:rtl w:val="0"/>
        </w:rPr>
        <w:t xml:space="preserve">Previous experience of working with Roma community will be considered a strong advantage.</w:t>
      </w:r>
    </w:p>
    <w:p w:rsidR="00000000" w:rsidDel="00000000" w:rsidP="00000000" w:rsidRDefault="00000000" w:rsidRPr="00000000" w14:paraId="00000064">
      <w:pPr>
        <w:numPr>
          <w:ilvl w:val="0"/>
          <w:numId w:val="1"/>
        </w:numPr>
        <w:ind w:left="360" w:hanging="360"/>
        <w:rPr/>
      </w:pPr>
      <w:r w:rsidDel="00000000" w:rsidR="00000000" w:rsidRPr="00000000">
        <w:rPr>
          <w:rtl w:val="0"/>
        </w:rPr>
        <w:t xml:space="preserve">Excellent communication, interpersonal, and relationship-building skills.</w:t>
      </w:r>
    </w:p>
    <w:p w:rsidR="00000000" w:rsidDel="00000000" w:rsidP="00000000" w:rsidRDefault="00000000" w:rsidRPr="00000000" w14:paraId="00000065">
      <w:pPr>
        <w:numPr>
          <w:ilvl w:val="0"/>
          <w:numId w:val="1"/>
        </w:numPr>
        <w:ind w:left="360" w:hanging="360"/>
        <w:rPr/>
      </w:pPr>
      <w:r w:rsidDel="00000000" w:rsidR="00000000" w:rsidRPr="00000000">
        <w:rPr>
          <w:rtl w:val="0"/>
        </w:rPr>
        <w:t xml:space="preserve">Proven experience in organizing community events and workshops</w:t>
      </w:r>
    </w:p>
    <w:p w:rsidR="00000000" w:rsidDel="00000000" w:rsidP="00000000" w:rsidRDefault="00000000" w:rsidRPr="00000000" w14:paraId="00000066">
      <w:pPr>
        <w:numPr>
          <w:ilvl w:val="0"/>
          <w:numId w:val="1"/>
        </w:numPr>
        <w:ind w:left="360" w:hanging="360"/>
        <w:rPr/>
      </w:pPr>
      <w:r w:rsidDel="00000000" w:rsidR="00000000" w:rsidRPr="00000000">
        <w:rPr>
          <w:rtl w:val="0"/>
        </w:rPr>
        <w:t xml:space="preserve">Proficiency in Microsoft Office Suite (Word, Excel, PowerPoint) and other relevant software</w:t>
      </w:r>
    </w:p>
    <w:p w:rsidR="00000000" w:rsidDel="00000000" w:rsidP="00000000" w:rsidRDefault="00000000" w:rsidRPr="00000000" w14:paraId="00000067">
      <w:pPr>
        <w:numPr>
          <w:ilvl w:val="0"/>
          <w:numId w:val="1"/>
        </w:numPr>
        <w:ind w:left="360" w:hanging="360"/>
        <w:rPr/>
      </w:pPr>
      <w:r w:rsidDel="00000000" w:rsidR="00000000" w:rsidRPr="00000000">
        <w:rPr>
          <w:rtl w:val="0"/>
        </w:rPr>
        <w:t xml:space="preserve"> Fluency in Turkish is required.</w:t>
      </w:r>
    </w:p>
    <w:p w:rsidR="00000000" w:rsidDel="00000000" w:rsidP="00000000" w:rsidRDefault="00000000" w:rsidRPr="00000000" w14:paraId="00000068">
      <w:pPr>
        <w:numPr>
          <w:ilvl w:val="0"/>
          <w:numId w:val="1"/>
        </w:numPr>
        <w:ind w:left="360" w:hanging="360"/>
        <w:rPr/>
      </w:pPr>
      <w:r w:rsidDel="00000000" w:rsidR="00000000" w:rsidRPr="00000000">
        <w:rPr>
          <w:rtl w:val="0"/>
        </w:rPr>
        <w:t xml:space="preserve">High level of empathy, cultural sensitivity, and commitment to community development.</w:t>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720" w:right="357" w:hanging="360"/>
        <w:jc w:val="both"/>
        <w:rPr>
          <w:b w:val="1"/>
          <w:sz w:val="22"/>
          <w:szCs w:val="22"/>
          <w:u w:val="singl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720" w:right="357" w:hanging="360"/>
        <w:jc w:val="both"/>
        <w:rPr>
          <w:color w:val="000000"/>
          <w:sz w:val="22"/>
          <w:szCs w:val="22"/>
        </w:rPr>
      </w:pPr>
      <w:r w:rsidDel="00000000" w:rsidR="00000000" w:rsidRPr="00000000">
        <w:rPr>
          <w:b w:val="1"/>
          <w:color w:val="000000"/>
          <w:sz w:val="22"/>
          <w:szCs w:val="22"/>
          <w:u w:val="single"/>
          <w:rtl w:val="0"/>
        </w:rPr>
        <w:t xml:space="preserve">3)</w:t>
        <w:tab/>
        <w:t xml:space="preserve">Technical capacity of tenderer </w:t>
      </w:r>
      <w:r w:rsidDel="00000000" w:rsidR="00000000" w:rsidRPr="00000000">
        <w:rPr>
          <w:color w:val="000000"/>
          <w:sz w:val="22"/>
          <w:szCs w:val="22"/>
          <w:rtl w:val="0"/>
        </w:rPr>
        <w:t xml:space="preserve">(based on items 5 and 6 of the tender form). The reference period which will be taken into account will be the last two years preceding the submission deadline.</w:t>
      </w:r>
    </w:p>
    <w:p w:rsidR="00000000" w:rsidDel="00000000" w:rsidP="00000000" w:rsidRDefault="00000000" w:rsidRPr="00000000" w14:paraId="0000006B">
      <w:pPr>
        <w:pBdr>
          <w:top w:space="0" w:sz="0" w:val="nil"/>
          <w:left w:space="0" w:sz="0" w:val="nil"/>
          <w:bottom w:space="0" w:sz="0" w:val="nil"/>
          <w:right w:space="0" w:sz="0" w:val="nil"/>
          <w:between w:space="0" w:sz="0" w:val="nil"/>
        </w:pBdr>
        <w:ind w:right="360"/>
        <w:jc w:val="both"/>
        <w:rPr>
          <w:color w:val="000000"/>
          <w:sz w:val="22"/>
          <w:szCs w:val="22"/>
        </w:rPr>
      </w:pPr>
      <w:r w:rsidDel="00000000" w:rsidR="00000000" w:rsidRPr="00000000">
        <w:rPr>
          <w:rtl w:val="0"/>
        </w:rPr>
      </w:r>
    </w:p>
    <w:p w:rsidR="00000000" w:rsidDel="00000000" w:rsidP="00000000" w:rsidRDefault="00000000" w:rsidRPr="00000000" w14:paraId="0000006C">
      <w:pPr>
        <w:ind w:left="709" w:hanging="349"/>
        <w:rPr>
          <w:sz w:val="22"/>
          <w:szCs w:val="22"/>
        </w:rPr>
      </w:pPr>
      <w:r w:rsidDel="00000000" w:rsidR="00000000" w:rsidRPr="00000000">
        <w:rPr>
          <w:b w:val="1"/>
          <w:sz w:val="22"/>
          <w:szCs w:val="22"/>
          <w:rtl w:val="0"/>
        </w:rPr>
        <w:t xml:space="preserve">17. </w:t>
        <w:tab/>
        <w:t xml:space="preserve">Award criteria</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360" w:right="1" w:firstLine="0"/>
        <w:jc w:val="both"/>
        <w:rPr>
          <w:color w:val="000000"/>
          <w:sz w:val="22"/>
          <w:szCs w:val="22"/>
        </w:rPr>
      </w:pPr>
      <w:r w:rsidDel="00000000" w:rsidR="00000000" w:rsidRPr="00000000">
        <w:rPr>
          <w:color w:val="000000"/>
          <w:sz w:val="22"/>
          <w:szCs w:val="22"/>
          <w:rtl w:val="0"/>
        </w:rPr>
        <w:t xml:space="preserve">Best </w:t>
      </w:r>
      <w:r w:rsidDel="00000000" w:rsidR="00000000" w:rsidRPr="00000000">
        <w:rPr>
          <w:color w:val="000000"/>
          <w:rtl w:val="0"/>
        </w:rPr>
        <w:t xml:space="preserve">price-quality ratio.</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360" w:right="360" w:firstLine="0"/>
        <w:jc w:val="both"/>
        <w:rPr>
          <w:sz w:val="22"/>
          <w:szCs w:val="22"/>
        </w:rPr>
      </w:pPr>
      <w:r w:rsidDel="00000000" w:rsidR="00000000" w:rsidRPr="00000000">
        <w:rPr>
          <w:color w:val="000000"/>
          <w:sz w:val="22"/>
          <w:szCs w:val="22"/>
          <w:rtl w:val="0"/>
        </w:rPr>
        <w:t xml:space="preserv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20"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2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6F">
      <w:pPr>
        <w:keepNext w:val="1"/>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70">
      <w:pPr>
        <w:keepNext w:val="1"/>
        <w:ind w:left="709" w:hanging="352"/>
        <w:rPr>
          <w:sz w:val="22"/>
          <w:szCs w:val="22"/>
        </w:rPr>
      </w:pPr>
      <w:r w:rsidDel="00000000" w:rsidR="00000000" w:rsidRPr="00000000">
        <w:rPr>
          <w:b w:val="1"/>
          <w:sz w:val="22"/>
          <w:szCs w:val="22"/>
          <w:rtl w:val="0"/>
        </w:rPr>
        <w:t xml:space="preserve">18. </w:t>
        <w:tab/>
        <w:t xml:space="preserve">Deadline for submission of tenders</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sz w:val="22"/>
          <w:szCs w:val="22"/>
          <w:rtl w:val="0"/>
        </w:rPr>
        <w:t xml:space="preserve">The deadline for submission of tenders is 30 days from the date of publishing. If the deadline is a non working day, the period will be extended until the next working day. </w:t>
      </w:r>
      <w:r w:rsidDel="00000000" w:rsidR="00000000" w:rsidRPr="00000000">
        <w:rPr>
          <w:color w:val="000000"/>
          <w:sz w:val="22"/>
          <w:szCs w:val="22"/>
          <w:highlight w:val="yellow"/>
          <w:rtl w:val="0"/>
        </w:rPr>
        <w:t xml:space="preserve">   </w:t>
      </w:r>
      <w:r w:rsidDel="00000000" w:rsidR="00000000" w:rsidRPr="00000000">
        <w:rPr>
          <w:rtl w:val="0"/>
        </w:rPr>
      </w:r>
    </w:p>
    <w:p w:rsidR="00000000" w:rsidDel="00000000" w:rsidP="00000000" w:rsidRDefault="00000000" w:rsidRPr="00000000" w14:paraId="00000072">
      <w:pPr>
        <w:ind w:left="709" w:hanging="349"/>
        <w:rPr>
          <w:sz w:val="22"/>
          <w:szCs w:val="22"/>
        </w:rPr>
      </w:pPr>
      <w:r w:rsidDel="00000000" w:rsidR="00000000" w:rsidRPr="00000000">
        <w:rPr>
          <w:b w:val="1"/>
          <w:sz w:val="22"/>
          <w:szCs w:val="22"/>
          <w:rtl w:val="0"/>
        </w:rPr>
        <w:t xml:space="preserve">19. </w:t>
        <w:tab/>
        <w:t xml:space="preserve">Tender format and details to be provided</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must be submitted using the standard tender form for simplified procedures, the format and instructions of which must be strictly observed. The tender form is available from the following internet address: </w:t>
      </w:r>
      <w:hyperlink r:id="rId8">
        <w:r w:rsidDel="00000000" w:rsidR="00000000" w:rsidRPr="00000000">
          <w:rPr>
            <w:color w:val="0000ff"/>
            <w:sz w:val="22"/>
            <w:szCs w:val="22"/>
            <w:u w:val="single"/>
            <w:rtl w:val="0"/>
          </w:rPr>
          <w:t xml:space="preserve">https://wikis.ec.europa.eu/display/ExactExternalWiki/Annexes#Annexes-AnnexesB(Ch.3):Servicecontracts</w:t>
        </w:r>
      </w:hyperlink>
      <w:r w:rsidDel="00000000" w:rsidR="00000000" w:rsidRPr="00000000">
        <w:rPr>
          <w:color w:val="000000"/>
          <w:sz w:val="22"/>
          <w:szCs w:val="22"/>
          <w:rtl w:val="0"/>
        </w:rPr>
        <w:t xml:space="preserve">, under the zip file called Simplified Tender dossier. </w:t>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360" w:right="360" w:firstLine="0"/>
        <w:jc w:val="both"/>
        <w:rPr>
          <w:color w:val="000000"/>
          <w:sz w:val="22"/>
          <w:szCs w:val="22"/>
        </w:rPr>
      </w:pPr>
      <w:hyperlink r:id="rId9">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00"/>
          <w:sz w:val="22"/>
          <w:szCs w:val="22"/>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Any additional documentation (brochure, letter, etc.) sent with a tender will not be taken into consideration.</w:t>
      </w:r>
    </w:p>
    <w:p w:rsidR="00000000" w:rsidDel="00000000" w:rsidP="00000000" w:rsidRDefault="00000000" w:rsidRPr="00000000" w14:paraId="00000077">
      <w:pPr>
        <w:ind w:left="709" w:hanging="349"/>
        <w:rPr>
          <w:sz w:val="22"/>
          <w:szCs w:val="22"/>
        </w:rPr>
      </w:pPr>
      <w:r w:rsidDel="00000000" w:rsidR="00000000" w:rsidRPr="00000000">
        <w:rPr>
          <w:b w:val="1"/>
          <w:sz w:val="22"/>
          <w:szCs w:val="22"/>
          <w:rtl w:val="0"/>
        </w:rPr>
        <w:t xml:space="preserve">20. </w:t>
        <w:tab/>
        <w:t xml:space="preserve">How tenders may be submitted</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must be submitted in English exclusively to the contracting authority, using the means specified in point 8 of the instructions to tenderers.  </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Tenders submitted by any other means will not be considered.</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By submitting a </w:t>
      </w:r>
      <w:r w:rsidDel="00000000" w:rsidR="00000000" w:rsidRPr="00000000">
        <w:rPr>
          <w:sz w:val="22"/>
          <w:szCs w:val="22"/>
          <w:rtl w:val="0"/>
        </w:rPr>
        <w:t xml:space="preserve">tender, bidders</w:t>
      </w:r>
      <w:r w:rsidDel="00000000" w:rsidR="00000000" w:rsidRPr="00000000">
        <w:rPr>
          <w:color w:val="000000"/>
          <w:sz w:val="22"/>
          <w:szCs w:val="22"/>
          <w:rtl w:val="0"/>
        </w:rPr>
        <w:t xml:space="preserve"> accept to receive notification of the outcome of the procedure by electronic means.</w:t>
      </w:r>
    </w:p>
    <w:p w:rsidR="00000000" w:rsidDel="00000000" w:rsidP="00000000" w:rsidRDefault="00000000" w:rsidRPr="00000000" w14:paraId="0000007B">
      <w:pPr>
        <w:ind w:left="709" w:hanging="349"/>
        <w:rPr>
          <w:b w:val="1"/>
          <w:sz w:val="22"/>
          <w:szCs w:val="22"/>
        </w:rPr>
      </w:pPr>
      <w:r w:rsidDel="00000000" w:rsidR="00000000" w:rsidRPr="00000000">
        <w:rPr>
          <w:b w:val="1"/>
          <w:sz w:val="22"/>
          <w:szCs w:val="22"/>
          <w:rtl w:val="0"/>
        </w:rPr>
        <w:t xml:space="preserve">21.</w:t>
        <w:tab/>
        <w:t xml:space="preserve">Alteration or withdrawal of tenders</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color w:val="000000"/>
          <w:sz w:val="22"/>
          <w:szCs w:val="22"/>
          <w:rtl w:val="0"/>
        </w:rPr>
        <w:t xml:space="preserve">Any such notification of alteration or withdrawal shall be prepared and submitted in accordance with point 9 of the instructions to tenderers. </w:t>
      </w:r>
    </w:p>
    <w:p w:rsidR="00000000" w:rsidDel="00000000" w:rsidP="00000000" w:rsidRDefault="00000000" w:rsidRPr="00000000" w14:paraId="0000007E">
      <w:pPr>
        <w:keepNext w:val="1"/>
        <w:ind w:left="709" w:hanging="352"/>
        <w:rPr>
          <w:sz w:val="22"/>
          <w:szCs w:val="22"/>
        </w:rPr>
      </w:pPr>
      <w:r w:rsidDel="00000000" w:rsidR="00000000" w:rsidRPr="00000000">
        <w:rPr>
          <w:b w:val="1"/>
          <w:sz w:val="22"/>
          <w:szCs w:val="22"/>
          <w:rtl w:val="0"/>
        </w:rPr>
        <w:t xml:space="preserve">22. </w:t>
        <w:tab/>
        <w:t xml:space="preserve">Operational language</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360" w:right="360" w:firstLine="0"/>
        <w:jc w:val="both"/>
        <w:rPr>
          <w:i w:val="1"/>
          <w:color w:val="000000"/>
          <w:sz w:val="22"/>
          <w:szCs w:val="22"/>
        </w:rPr>
      </w:pPr>
      <w:r w:rsidDel="00000000" w:rsidR="00000000" w:rsidRPr="00000000">
        <w:rPr>
          <w:color w:val="000000"/>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360" w:right="360" w:firstLine="0"/>
        <w:jc w:val="both"/>
        <w:rPr>
          <w:b w:val="1"/>
          <w:color w:val="000000"/>
          <w:sz w:val="22"/>
          <w:szCs w:val="22"/>
        </w:rPr>
      </w:pPr>
      <w:r w:rsidDel="00000000" w:rsidR="00000000" w:rsidRPr="00000000">
        <w:rPr>
          <w:b w:val="1"/>
          <w:color w:val="000000"/>
          <w:sz w:val="22"/>
          <w:szCs w:val="22"/>
          <w:rtl w:val="0"/>
        </w:rPr>
        <w:t xml:space="preserve">23. Additional information</w:t>
      </w:r>
    </w:p>
    <w:p w:rsidR="00000000" w:rsidDel="00000000" w:rsidP="00000000" w:rsidRDefault="00000000" w:rsidRPr="00000000" w14:paraId="00000081">
      <w:pPr>
        <w:widowControl w:val="1"/>
        <w:spacing w:after="0" w:lineRule="auto"/>
        <w:ind w:left="360" w:right="360" w:firstLine="0"/>
        <w:jc w:val="both"/>
        <w:rPr/>
      </w:pPr>
      <w:r w:rsidDel="00000000" w:rsidR="00000000" w:rsidRPr="00000000">
        <w:rPr>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month and year correspond to the month and year of the publication of the present contract notice or the month and year corresponding to the deadline for submitting applications, which can be found at the following address: </w:t>
      </w:r>
      <w:hyperlink r:id="rId10">
        <w:r w:rsidDel="00000000" w:rsidR="00000000" w:rsidRPr="00000000">
          <w:rPr>
            <w:color w:val="0000ff"/>
            <w:u w:val="single"/>
            <w:rtl w:val="0"/>
          </w:rPr>
          <w:t xml:space="preserve">http://ec.europa.eu/budget/graphs/inforeuro.html</w:t>
        </w:r>
      </w:hyperlink>
      <w:r w:rsidDel="00000000" w:rsidR="00000000" w:rsidRPr="00000000">
        <w:rPr>
          <w:rtl w:val="0"/>
        </w:rPr>
        <w:t xml:space="preserve">.</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360" w:right="360" w:firstLine="0"/>
        <w:jc w:val="both"/>
        <w:rPr>
          <w:color w:val="000000"/>
          <w:sz w:val="22"/>
          <w:szCs w:val="22"/>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276" w:top="709" w:left="1418" w:right="144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color w:val="000000"/>
      </w:rPr>
    </w:pPr>
    <w:r w:rsidDel="00000000" w:rsidR="00000000" w:rsidRPr="00000000">
      <w:rPr>
        <w:color w:val="000000"/>
        <w:sz w:val="18"/>
        <w:szCs w:val="18"/>
        <w:rtl w:val="0"/>
      </w:rPr>
      <w:t xml:space="preserve">b8o3_contractnotice_simp_en.doc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spacing w:after="100" w:before="1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Vurgu">
    <w:name w:val="Emphasis"/>
    <w:uiPriority w:val="20"/>
    <w:qFormat w:val="1"/>
    <w:rPr>
      <w:i w:val="1"/>
    </w:rPr>
  </w:style>
  <w:style w:type="character" w:styleId="Kpr">
    <w:name w:val="Hyperlink"/>
    <w:rPr>
      <w:color w:val="0000ff"/>
      <w:u w:val="single"/>
    </w:rPr>
  </w:style>
  <w:style w:type="character" w:styleId="zlenenKpr">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FormunAlt">
    <w:name w:val="HTML Bottom of Form"/>
    <w:next w:val="Normal"/>
    <w:hidden w:val="1"/>
    <w:pPr>
      <w:pBdr>
        <w:top w:color="000000" w:space="0" w:sz="2" w:val="double"/>
      </w:pBdr>
      <w:jc w:val="center"/>
    </w:pPr>
    <w:rPr>
      <w:rFonts w:ascii="Arial" w:hAnsi="Arial"/>
      <w:snapToGrid w:val="0"/>
      <w:vanish w:val="1"/>
      <w:sz w:val="16"/>
    </w:rPr>
  </w:style>
  <w:style w:type="paragraph" w:styleId="z-Formunst">
    <w:name w:val="HTML Top of Form"/>
    <w:next w:val="Normal"/>
    <w:hidden w:val="1"/>
    <w:pPr>
      <w:pBdr>
        <w:bottom w:color="000000" w:space="0" w:sz="2" w:val="double"/>
      </w:pBdr>
      <w:jc w:val="center"/>
    </w:pPr>
    <w:rPr>
      <w:rFonts w:ascii="Arial" w:hAnsi="Arial"/>
      <w:snapToGrid w:val="0"/>
      <w:vanish w:val="1"/>
      <w:sz w:val="16"/>
    </w:rPr>
  </w:style>
  <w:style w:type="character" w:styleId="Sample" w:customStyle="1">
    <w:name w:val="Sample"/>
    <w:rPr>
      <w:rFonts w:ascii="Courier New" w:hAnsi="Courier New"/>
    </w:rPr>
  </w:style>
  <w:style w:type="character" w:styleId="Gl">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BelgeBalantlar">
    <w:name w:val="Document Map"/>
    <w:basedOn w:val="Normal"/>
    <w:semiHidden w:val="1"/>
    <w:pPr>
      <w:shd w:color="auto" w:fill="000080" w:val="clear"/>
    </w:pPr>
    <w:rPr>
      <w:rFonts w:ascii="Tahoma" w:hAnsi="Tahoma"/>
    </w:rPr>
  </w:style>
  <w:style w:type="paragraph" w:styleId="stBilgi">
    <w:name w:val="header"/>
    <w:basedOn w:val="Normal"/>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rsid w:val="007F095B"/>
  </w:style>
  <w:style w:type="paragraph" w:styleId="GvdeMetni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rPr>
  </w:style>
  <w:style w:type="paragraph" w:styleId="DipnotMetni">
    <w:name w:val="footnote text"/>
    <w:basedOn w:val="Normal"/>
    <w:link w:val="DipnotMetniChar"/>
    <w:uiPriority w:val="99"/>
    <w:rsid w:val="001951FE"/>
    <w:rPr>
      <w:sz w:val="20"/>
    </w:rPr>
  </w:style>
  <w:style w:type="character" w:styleId="DipnotBavurusu">
    <w:name w:val="footnote reference"/>
    <w:uiPriority w:val="99"/>
    <w:qFormat w:val="1"/>
    <w:rsid w:val="001951FE"/>
    <w:rPr>
      <w:vertAlign w:val="superscript"/>
    </w:rPr>
  </w:style>
  <w:style w:type="character" w:styleId="AltBilgiChar" w:customStyle="1">
    <w:name w:val="Alt Bilgi Char"/>
    <w:link w:val="AltBilgi"/>
    <w:rsid w:val="007727F3"/>
    <w:rPr>
      <w:snapToGrid w:val="0"/>
      <w:sz w:val="24"/>
      <w:lang w:eastAsia="en-US" w:val="en-US"/>
    </w:rPr>
  </w:style>
  <w:style w:type="paragraph" w:styleId="BalonMetni">
    <w:name w:val="Balloon Text"/>
    <w:basedOn w:val="Normal"/>
    <w:link w:val="BalonMetniChar"/>
    <w:rsid w:val="00D240C3"/>
    <w:pPr>
      <w:spacing w:after="0" w:before="0"/>
    </w:pPr>
    <w:rPr>
      <w:rFonts w:ascii="Tahoma" w:cs="Tahoma" w:hAnsi="Tahoma"/>
      <w:sz w:val="16"/>
      <w:szCs w:val="16"/>
    </w:rPr>
  </w:style>
  <w:style w:type="character" w:styleId="BalonMetniChar" w:customStyle="1">
    <w:name w:val="Balon Metni Char"/>
    <w:link w:val="BalonMetni"/>
    <w:rsid w:val="00D240C3"/>
    <w:rPr>
      <w:rFonts w:ascii="Tahoma" w:cs="Tahoma" w:hAnsi="Tahoma"/>
      <w:snapToGrid w:val="0"/>
      <w:sz w:val="16"/>
      <w:szCs w:val="16"/>
      <w:lang w:eastAsia="en-US" w:val="en-US"/>
    </w:rPr>
  </w:style>
  <w:style w:type="character" w:styleId="AklamaBavurusu">
    <w:name w:val="annotation reference"/>
    <w:rsid w:val="009B69BE"/>
    <w:rPr>
      <w:sz w:val="16"/>
      <w:szCs w:val="16"/>
    </w:rPr>
  </w:style>
  <w:style w:type="paragraph" w:styleId="AklamaMetni">
    <w:name w:val="annotation text"/>
    <w:basedOn w:val="Normal"/>
    <w:link w:val="AklamaMetniChar"/>
    <w:rsid w:val="009B69BE"/>
    <w:rPr>
      <w:sz w:val="20"/>
    </w:rPr>
  </w:style>
  <w:style w:type="character" w:styleId="AklamaMetniChar" w:customStyle="1">
    <w:name w:val="Açıklama Metni Char"/>
    <w:link w:val="AklamaMetni"/>
    <w:rsid w:val="009B69BE"/>
    <w:rPr>
      <w:snapToGrid w:val="0"/>
      <w:lang w:eastAsia="en-US" w:val="en-US"/>
    </w:rPr>
  </w:style>
  <w:style w:type="paragraph" w:styleId="AklamaKonusu">
    <w:name w:val="annotation subject"/>
    <w:basedOn w:val="AklamaMetni"/>
    <w:next w:val="AklamaMetni"/>
    <w:link w:val="AklamaKonusuChar"/>
    <w:rsid w:val="009B69BE"/>
    <w:rPr>
      <w:b w:val="1"/>
      <w:bCs w:val="1"/>
    </w:rPr>
  </w:style>
  <w:style w:type="character" w:styleId="AklamaKonusuChar" w:customStyle="1">
    <w:name w:val="Açıklama Konusu Char"/>
    <w:link w:val="AklamaKonusu"/>
    <w:rsid w:val="009B69BE"/>
    <w:rPr>
      <w:b w:val="1"/>
      <w:bCs w:val="1"/>
      <w:snapToGrid w:val="0"/>
      <w:lang w:eastAsia="en-US" w:val="en-US"/>
    </w:rPr>
  </w:style>
  <w:style w:type="paragraph" w:styleId="PRAGHeading2" w:customStyle="1">
    <w:name w:val="PRAG Heading 2"/>
    <w:basedOn w:val="Normal"/>
    <w:rsid w:val="00971962"/>
    <w:pPr>
      <w:numPr>
        <w:numId w:val="3"/>
      </w:numPr>
    </w:pPr>
  </w:style>
  <w:style w:type="character" w:styleId="AltyazChar" w:customStyle="1">
    <w:name w:val="Altyazı Char"/>
    <w:link w:val="Altyaz"/>
    <w:rsid w:val="00A36F1C"/>
    <w:rPr>
      <w:b w:val="1"/>
      <w:sz w:val="28"/>
      <w:lang w:val="fr-BE"/>
    </w:rPr>
  </w:style>
  <w:style w:type="character" w:styleId="DipnotMetniChar" w:customStyle="1">
    <w:name w:val="Dipnot Metni Char"/>
    <w:link w:val="DipnotMetni"/>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lang w:eastAsia="fr-BE" w:val="fr-BE"/>
    </w:rPr>
  </w:style>
  <w:style w:type="character" w:styleId="highlight" w:customStyle="1">
    <w:name w:val="highlight"/>
    <w:rsid w:val="00B9793F"/>
    <w:rPr>
      <w:rFonts w:cs="Times New Roman"/>
    </w:rPr>
  </w:style>
  <w:style w:type="paragraph" w:styleId="ListeParagraf">
    <w:name w:val="List Paragraph"/>
    <w:basedOn w:val="Normal"/>
    <w:uiPriority w:val="34"/>
    <w:qFormat w:val="1"/>
    <w:rsid w:val="00B9793F"/>
    <w:pPr>
      <w:ind w:left="720"/>
    </w:pPr>
  </w:style>
  <w:style w:type="paragraph" w:styleId="Dzeltme">
    <w:name w:val="Revision"/>
    <w:hidden w:val="1"/>
    <w:uiPriority w:val="99"/>
    <w:semiHidden w:val="1"/>
    <w:rsid w:val="00D97139"/>
    <w:rPr>
      <w:snapToGrid w:val="0"/>
    </w:rPr>
  </w:style>
  <w:style w:type="character" w:styleId="Balk4Char" w:customStyle="1">
    <w:name w:val="Başlık 4 Char"/>
    <w:link w:val="Balk4"/>
    <w:semiHidden w:val="1"/>
    <w:rsid w:val="004916FF"/>
    <w:rPr>
      <w:rFonts w:ascii="Calibri" w:cs="Times New Roman" w:eastAsia="Times New Roman" w:hAnsi="Calibri"/>
      <w:b w:val="1"/>
      <w:bCs w:val="1"/>
      <w:snapToGrid w:val="0"/>
      <w:sz w:val="28"/>
      <w:szCs w:val="28"/>
      <w:lang w:eastAsia="en-US" w:val="en-US"/>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ec.europa.eu/budget/graphs/inforeuro.html"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ikis.ec.europa.eu/display/ExactExternalWiki/Annexes#Annexes-AnnexesA(Ch.2):General"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ikis.ec.europa.eu/display/ExactExternalWiki/Annexes#Annexes-AnnexesB(Ch.3):Servicecontrac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JPVuboUq2IqmWT/EaTMgIXMlVQ==">CgMxLjAyDmguZ29ldnhjbmIzaXQwMgxoLjYwYnMxMTM0em8yDmgucWl0a3FjZjY1cHBzOAByITFFQU9HS0tQRGduZUJhaU04RzktOXlZbzdLbUo2T1RfUg==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2020-04-15T15:51:00Z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GrammarlyDocumentId">
    <vt:lpwstr>ab5000a5301767d732ef619792e88ffbf4bec730f99d1b4cec41393188fc869a</vt:lpwstr>
  </property>
</Properties>
</file>