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heading=h.gjdgxs" w:id="0"/>
      <w:bookmarkEnd w:id="0"/>
      <w:r w:rsidDel="00000000" w:rsidR="00000000" w:rsidRPr="00000000">
        <w:rPr>
          <w:rtl w:val="0"/>
        </w:rPr>
        <w:t xml:space="preserve">A.</w:t>
        <w:tab/>
        <w:t xml:space="preserve">INSTRUCTIONS TO TENDERERS</w:t>
      </w:r>
    </w:p>
    <w:p w:rsidR="00000000" w:rsidDel="00000000" w:rsidP="00000000" w:rsidRDefault="00000000" w:rsidRPr="00000000" w14:paraId="00000002">
      <w:pPr>
        <w:pStyle w:val="Subtitle"/>
        <w:spacing w:after="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PUBLICATION REF.: </w:t>
      </w:r>
      <w:r w:rsidDel="00000000" w:rsidR="00000000" w:rsidRPr="00000000">
        <w:rPr>
          <w:rFonts w:ascii="Times New Roman" w:cs="Times New Roman" w:eastAsia="Times New Roman" w:hAnsi="Times New Roman"/>
          <w:b w:val="0"/>
          <w:rtl w:val="0"/>
        </w:rPr>
        <w:t xml:space="preserve">IPA III/2024/457-197/TK-007</w:t>
      </w:r>
      <w:r w:rsidDel="00000000" w:rsidR="00000000" w:rsidRPr="00000000">
        <w:rPr>
          <w:rtl w:val="0"/>
        </w:rPr>
      </w:r>
    </w:p>
    <w:p w:rsidR="00000000" w:rsidDel="00000000" w:rsidP="00000000" w:rsidRDefault="00000000" w:rsidRPr="00000000" w14:paraId="00000003">
      <w:pPr>
        <w:pStyle w:val="Subtitle"/>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By submitting a tender, tenderers fully and unreservedly accept the special and general conditions governing the contract as the sole basis of this tendering procedure, whatever their own conditions of sale may be, which they 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remarks in the tender relating to the tender dossier; remarks may result in the immediate rejection of the tender without further evaluation.</w:t>
      </w:r>
    </w:p>
    <w:p w:rsidR="00000000" w:rsidDel="00000000" w:rsidP="00000000" w:rsidRDefault="00000000" w:rsidRPr="00000000" w14:paraId="00000004">
      <w:pPr>
        <w:pStyle w:val="Subtitle"/>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These instructions set out the rules for the submission, selection and implementation of contracts financed under this call for tenders, in conformity with the practical guide (available on internet: </w:t>
      </w:r>
      <w:hyperlink r:id="rId7">
        <w:r w:rsidDel="00000000" w:rsidR="00000000" w:rsidRPr="00000000">
          <w:rPr>
            <w:rFonts w:ascii="Times New Roman" w:cs="Times New Roman" w:eastAsia="Times New Roman" w:hAnsi="Times New Roman"/>
            <w:color w:val="0000ff"/>
            <w:sz w:val="22"/>
            <w:szCs w:val="22"/>
            <w:u w:val="single"/>
            <w:rtl w:val="0"/>
          </w:rPr>
          <w:t xml:space="preserve">https://intpa-econtent-public.s3.eu-west-1.amazonaws.com/ePrag/2021.1/ePrag-en-2021.1.pdf</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05">
      <w:pPr>
        <w:pStyle w:val="Heading1"/>
        <w:rPr/>
      </w:pPr>
      <w:bookmarkStart w:colFirst="0" w:colLast="0" w:name="_heading=h.30j0zll" w:id="1"/>
      <w:bookmarkEnd w:id="1"/>
      <w:r w:rsidDel="00000000" w:rsidR="00000000" w:rsidRPr="00000000">
        <w:rPr>
          <w:rtl w:val="0"/>
        </w:rPr>
        <w:t xml:space="preserve">1. Service to be provided</w:t>
      </w:r>
    </w:p>
    <w:p w:rsidR="00000000" w:rsidDel="00000000" w:rsidP="00000000" w:rsidRDefault="00000000" w:rsidRPr="00000000" w14:paraId="00000006">
      <w:pPr>
        <w:pStyle w:val="Heading2"/>
        <w:keepNext w:val="0"/>
        <w:tabs>
          <w:tab w:val="left" w:leader="none" w:pos="709"/>
        </w:tabs>
        <w:ind w:left="567" w:hanging="567"/>
        <w:jc w:val="both"/>
        <w:rPr>
          <w:rFonts w:ascii="Times New Roman" w:cs="Times New Roman" w:eastAsia="Times New Roman" w:hAnsi="Times New Roman"/>
          <w:i w:val="0"/>
          <w:color w:val="000000"/>
          <w:sz w:val="22"/>
          <w:szCs w:val="22"/>
          <w:u w:val="none"/>
          <w:vertAlign w:val="baseline"/>
        </w:rPr>
      </w:pPr>
      <w:r w:rsidDel="00000000" w:rsidR="00000000" w:rsidRPr="00000000">
        <w:rPr>
          <w:rFonts w:ascii="Times New Roman" w:cs="Times New Roman" w:eastAsia="Times New Roman" w:hAnsi="Times New Roman"/>
          <w:i w:val="0"/>
          <w:color w:val="000000"/>
          <w:sz w:val="22"/>
          <w:szCs w:val="22"/>
          <w:u w:val="none"/>
          <w:vertAlign w:val="baseline"/>
          <w:rtl w:val="0"/>
        </w:rPr>
        <w:t xml:space="preserve">The services required by the contracting authority are described in the terms of reference. </w:t>
      </w:r>
    </w:p>
    <w:p w:rsidR="00000000" w:rsidDel="00000000" w:rsidP="00000000" w:rsidRDefault="00000000" w:rsidRPr="00000000" w14:paraId="00000007">
      <w:pPr>
        <w:pStyle w:val="Heading2"/>
        <w:keepNext w:val="0"/>
        <w:tabs>
          <w:tab w:val="left" w:leader="none" w:pos="709"/>
        </w:tabs>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color w:val="000000"/>
          <w:sz w:val="22"/>
          <w:szCs w:val="22"/>
          <w:u w:val="none"/>
          <w:vertAlign w:val="baseline"/>
          <w:rtl w:val="0"/>
        </w:rPr>
        <w:t xml:space="preserve">They are set out in Annex II to the draft contract, which forms Part B of this tender dossier.</w:t>
      </w:r>
      <w:r w:rsidDel="00000000" w:rsidR="00000000" w:rsidRPr="00000000">
        <w:rPr>
          <w:rtl w:val="0"/>
        </w:rPr>
      </w:r>
    </w:p>
    <w:p w:rsidR="00000000" w:rsidDel="00000000" w:rsidP="00000000" w:rsidRDefault="00000000" w:rsidRPr="00000000" w14:paraId="00000008">
      <w:pPr>
        <w:pStyle w:val="Heading1"/>
        <w:rPr/>
      </w:pPr>
      <w:bookmarkStart w:colFirst="0" w:colLast="0" w:name="_heading=h.3znysh7" w:id="2"/>
      <w:bookmarkEnd w:id="2"/>
      <w:r w:rsidDel="00000000" w:rsidR="00000000" w:rsidRPr="00000000">
        <w:rPr>
          <w:rtl w:val="0"/>
        </w:rPr>
        <w:t xml:space="preserve">2. Timetable</w:t>
      </w:r>
    </w:p>
    <w:tbl>
      <w:tblPr>
        <w:tblStyle w:val="Table1"/>
        <w:tblW w:w="97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5"/>
        <w:gridCol w:w="3090"/>
        <w:gridCol w:w="2715"/>
        <w:tblGridChange w:id="0">
          <w:tblGrid>
            <w:gridCol w:w="3975"/>
            <w:gridCol w:w="3090"/>
            <w:gridCol w:w="2715"/>
          </w:tblGrid>
        </w:tblGridChange>
      </w:tblGrid>
      <w:tr>
        <w:trPr>
          <w:cantSplit w:val="0"/>
          <w:tblHeader w:val="0"/>
        </w:trPr>
        <w:tc>
          <w:tcPr>
            <w:tcBorders>
              <w:top w:color="000000" w:space="0" w:sz="4" w:val="single"/>
              <w:left w:color="000000" w:space="0" w:sz="4" w:val="single"/>
              <w:bottom w:color="000000" w:space="0" w:sz="0" w:val="nil"/>
              <w:right w:color="000000" w:space="0" w:sz="4" w:val="single"/>
            </w:tcBorders>
            <w:tcMar>
              <w:top w:w="0.0" w:type="dxa"/>
              <w:left w:w="115.0" w:type="dxa"/>
              <w:bottom w:w="0.0" w:type="dxa"/>
              <w:right w:w="115.0" w:type="dxa"/>
            </w:tcMar>
          </w:tcPr>
          <w:p w:rsidR="00000000" w:rsidDel="00000000" w:rsidP="00000000" w:rsidRDefault="00000000" w:rsidRPr="00000000" w14:paraId="00000009">
            <w:pPr>
              <w:keepNext w:val="1"/>
              <w:jc w:val="both"/>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0A">
            <w:pPr>
              <w:keepNext w:val="1"/>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DATE</w:t>
            </w:r>
          </w:p>
        </w:tc>
        <w:tc>
          <w:tcPr>
            <w:tcBorders>
              <w:top w:color="000000" w:space="0" w:sz="4" w:val="single"/>
              <w:left w:color="000000" w:space="0" w:sz="4" w:val="single"/>
              <w:bottom w:color="000000" w:space="0" w:sz="0" w:val="nil"/>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0B">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TIME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0C">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Clarification meeting / site visit (if any)</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0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0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0F">
            <w:pPr>
              <w:keepNext w:val="1"/>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Deadline for requesting clarifications from the contracting authority</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0">
            <w:pPr>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Date 21 days before deadline for submission of tenders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12">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date on which clarifications are issued by the contracting authority</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3">
            <w:pPr>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8 days before deadline for submission of tenders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15">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Deadline for submission of tenders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6">
            <w:pPr>
              <w:keepNext w:val="1"/>
              <w:keepLines w:val="1"/>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30 days from invitation</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18">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Tender opening session</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days after the submission deadline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1B">
            <w:pPr>
              <w:tabs>
                <w:tab w:val="left" w:leader="none" w:pos="851"/>
              </w:tabs>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Notification of award to the successful tenderer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 days after the submission deadline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D">
            <w:pPr>
              <w:tabs>
                <w:tab w:val="left" w:leader="none" w:pos="851"/>
              </w:tabs>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1E">
            <w:pPr>
              <w:tabs>
                <w:tab w:val="left" w:leader="none" w:pos="851"/>
              </w:tabs>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Signature of the contract</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 days after the submission deadline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0">
            <w:pPr>
              <w:tabs>
                <w:tab w:val="left" w:leader="none" w:pos="851"/>
              </w:tabs>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bl>
    <w:p w:rsidR="00000000" w:rsidDel="00000000" w:rsidP="00000000" w:rsidRDefault="00000000" w:rsidRPr="00000000" w14:paraId="00000021">
      <w:pPr>
        <w:tabs>
          <w:tab w:val="left" w:leader="none" w:pos="851"/>
        </w:tabs>
        <w:jc w:val="both"/>
        <w:rPr>
          <w:rFonts w:ascii="Times New Roman" w:cs="Times New Roman" w:eastAsia="Times New Roman" w:hAnsi="Times New Roman"/>
          <w:b w:val="1"/>
          <w:sz w:val="22"/>
          <w:szCs w:val="22"/>
        </w:rPr>
      </w:pPr>
      <w:bookmarkStart w:colFirst="0" w:colLast="0" w:name="_heading=h.2et92p0" w:id="3"/>
      <w:bookmarkEnd w:id="3"/>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b w:val="1"/>
          <w:sz w:val="22"/>
          <w:szCs w:val="22"/>
          <w:rtl w:val="0"/>
        </w:rPr>
        <w:t xml:space="preserve">* The time zone of the country of the contracting authority.</w:t>
        <w:br w:type="textWrapping"/>
        <w:t xml:space="preserve">**</w:t>
      </w:r>
      <w:r w:rsidDel="00000000" w:rsidR="00000000" w:rsidRPr="00000000">
        <w:rPr>
          <w:rFonts w:ascii="Times New Roman" w:cs="Times New Roman" w:eastAsia="Times New Roman" w:hAnsi="Times New Roman"/>
          <w:sz w:val="22"/>
          <w:szCs w:val="22"/>
          <w:vertAlign w:val="superscript"/>
          <w:rtl w:val="0"/>
        </w:rPr>
        <w:t xml:space="preserve"> </w:t>
      </w:r>
      <w:r w:rsidDel="00000000" w:rsidR="00000000" w:rsidRPr="00000000">
        <w:rPr>
          <w:rFonts w:ascii="Times New Roman" w:cs="Times New Roman" w:eastAsia="Times New Roman" w:hAnsi="Times New Roman"/>
          <w:b w:val="1"/>
          <w:sz w:val="22"/>
          <w:szCs w:val="22"/>
          <w:rtl w:val="0"/>
        </w:rPr>
        <w:t xml:space="preserve">Provisional date. Days presented are calendar based.</w:t>
      </w:r>
    </w:p>
    <w:p w:rsidR="00000000" w:rsidDel="00000000" w:rsidP="00000000" w:rsidRDefault="00000000" w:rsidRPr="00000000" w14:paraId="00000022">
      <w:pPr>
        <w:spacing w:after="144" w:before="288" w:lineRule="auto"/>
        <w:rPr>
          <w:rFonts w:ascii="Times New Roman" w:cs="Times New Roman" w:eastAsia="Times New Roman" w:hAnsi="Times New Roman"/>
          <w:b w:val="1"/>
        </w:rPr>
      </w:pPr>
      <w:bookmarkStart w:colFirst="0" w:colLast="0" w:name="_heading=h.vial5520a10w" w:id="4"/>
      <w:bookmarkEnd w:id="4"/>
      <w:r w:rsidDel="00000000" w:rsidR="00000000" w:rsidRPr="00000000">
        <w:rPr>
          <w:rFonts w:ascii="Times New Roman" w:cs="Times New Roman" w:eastAsia="Times New Roman" w:hAnsi="Times New Roman"/>
          <w:b w:val="1"/>
          <w:sz w:val="22"/>
          <w:szCs w:val="22"/>
          <w:rtl w:val="0"/>
        </w:rPr>
        <w:t xml:space="preserve">*** Should the last day of the indicated calendar be a non working day, deadlines will be extended until the next working day.</w:t>
      </w:r>
      <w:r w:rsidDel="00000000" w:rsidR="00000000" w:rsidRPr="00000000">
        <w:rPr>
          <w:rtl w:val="0"/>
        </w:rPr>
      </w:r>
    </w:p>
    <w:p w:rsidR="00000000" w:rsidDel="00000000" w:rsidP="00000000" w:rsidRDefault="00000000" w:rsidRPr="00000000" w14:paraId="00000023">
      <w:pPr>
        <w:keepNext w:val="0"/>
        <w:keepLines w:val="0"/>
        <w:widowControl w:val="1"/>
        <w:pBdr>
          <w:left w:color="000000" w:space="0" w:sz="0" w:val="none"/>
        </w:pBdr>
        <w:spacing w:after="280" w:before="280" w:lineRule="auto"/>
        <w:rPr>
          <w:rFonts w:ascii="Times New Roman" w:cs="Times New Roman" w:eastAsia="Times New Roman" w:hAnsi="Times New Roman"/>
          <w:b w:val="1"/>
          <w:sz w:val="22"/>
          <w:szCs w:val="22"/>
        </w:rPr>
      </w:pPr>
      <w:bookmarkStart w:colFirst="0" w:colLast="0" w:name="_heading=h.tyjcwt" w:id="5"/>
      <w:bookmarkEnd w:id="5"/>
      <w:r w:rsidDel="00000000" w:rsidR="00000000" w:rsidRPr="00000000">
        <w:rPr>
          <w:rFonts w:ascii="Times New Roman" w:cs="Times New Roman" w:eastAsia="Times New Roman" w:hAnsi="Times New Roman"/>
          <w:b w:val="1"/>
          <w:sz w:val="22"/>
          <w:szCs w:val="22"/>
          <w:rtl w:val="0"/>
        </w:rPr>
        <w:t xml:space="preserve">3. Participation</w:t>
      </w:r>
      <w:r w:rsidDel="00000000" w:rsidR="00000000" w:rsidRPr="00000000">
        <w:rPr>
          <w:rFonts w:ascii="Times New Roman" w:cs="Times New Roman" w:eastAsia="Times New Roman" w:hAnsi="Times New Roman"/>
          <w:b w:val="1"/>
          <w:i w:val="0"/>
          <w:color w:val="000000"/>
          <w:sz w:val="24"/>
          <w:szCs w:val="24"/>
          <w:u w:val="none"/>
          <w:vertAlign w:val="baseline"/>
          <w:rtl w:val="0"/>
        </w:rPr>
        <w:t xml:space="preserve">, experts and subcontracting</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5" w:right="0"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Participation in this tender procedure is open to all eligible candidates who fulfill the stipulated requirements.</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5" w:right="0"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Natural or legal persons are not entitled to participate in this tender procedure or be awarded a contract if they are in any of the situations mentioned in Sections 2.4. (EU restrictive measures), 2.6.10.1.1 (exclusion criteria) or 2.6.10.1.2. (rejection from a procedure)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practical guide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Should they be in one of these situations, their tender will be considered either unsuitable or irregular. </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5" w:right="0"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cases listed in Section 2.6.10.1.1.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practical guide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tenderers may be excluded from EU financed procedures and be subject to financial penalties up to 10 % of the total value of the contract in accordance with the Financial Regulation in force. This information may be published on the Commission website in accordance with the Financial Regulation in force. </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5" w:right="0"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Tenders should be submitted by the same economic operator or consortium that submitted the request to participate form on the basis of which it was short-listed and to which the letter of invitation to tender is addressed. No change whatsoever in the identity or composition of the tenderer is permitted</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unless a written request has been submitted to the contracting authority and the latter has given its prior approval in writing.</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5" w:right="0"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Short-listed economic operators or consortia are not allowed to form alliances with any other firms or to subcontract to each other for the purposes of this contract.</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5" w:right="0"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contract between the tenderer/contractor and its experts, or the third party making available the experts, shall contain a provision stating that experts 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subject to the approval of the partner country. It is, furthermore, recommended that this contract contain a dispute resolution clause.  </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5" w:right="0"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 the purpose of implementing the contract, subcontracting is the only permitted form of collaboration with firms that have not been short-listed. The tenderer and, where applicable, entities on whose capacities the tenderer has relied with regard to criteria relating to the economic and financial capacity, shall be jointly liable for the performance of the contract. If the tenderer intends to subcontract one or more parts of the contracted services, this must be clearly stated in the organization and methodology and in the tender submission form. </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5" w:right="0"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 subcontractors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 well as all entities, upon whose capacity the tenderer relies for the selection criteria, must be eligible for the contract. If the identity of the intended subcontractor is already known at the time of submitting the tender, the tenderer must furnish a statement guaranteeing the eligibility of the subcontractor. If any subcontractor/capacity-providing entity identified in this way does not meet the eligibility criteria, the tender shall be rejected. If the identity of the subcontractor is not known at the time of submitting the tender, any subcontract must be awarded according to Article 4 of the general conditions of the contract.</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5" w:right="0"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Subcontractors and capacity providing entities cannot be in any of the exclusion situations listed in Section 2.6.10.1 of the practical guide. The successful tenderer/contractor shall submit a declaration from the intended subcontractor/capacity- providing entity that it is not in one of the exclusion situations. In the event of doubt, the contracting authority shall request documentary evidence that the subcontractor/ capacity providing entity is not in a situation of exclusion. </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425" w:right="0"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 the avoidance of doubt, where the experts are not directly employed or contracted by the tenderer/contractor but through a third party, the latter is a sub-contractor.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Experts made available by any third party (sub-contractors) are considered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 all purposes related to the present contract to be the personnel of the contractor. </w:t>
      </w:r>
      <w:r w:rsidDel="00000000" w:rsidR="00000000" w:rsidRPr="00000000">
        <w:rPr>
          <w:rtl w:val="0"/>
        </w:rPr>
      </w:r>
    </w:p>
    <w:p w:rsidR="00000000" w:rsidDel="00000000" w:rsidP="00000000" w:rsidRDefault="00000000" w:rsidRPr="00000000" w14:paraId="0000002F">
      <w:pPr>
        <w:pStyle w:val="Heading1"/>
        <w:rPr/>
      </w:pPr>
      <w:bookmarkStart w:colFirst="0" w:colLast="0" w:name="_heading=h.44sinio" w:id="6"/>
      <w:bookmarkEnd w:id="6"/>
      <w:r w:rsidDel="00000000" w:rsidR="00000000" w:rsidRPr="00000000">
        <w:rPr>
          <w:rtl w:val="0"/>
        </w:rPr>
        <w:t xml:space="preserve">4. Content of tenders</w:t>
      </w:r>
    </w:p>
    <w:p w:rsidR="00000000" w:rsidDel="00000000" w:rsidP="00000000" w:rsidRDefault="00000000" w:rsidRPr="00000000" w14:paraId="00000030">
      <w:pPr>
        <w:pStyle w:val="Heading2"/>
        <w:keepNext w:val="0"/>
        <w:keepLines w:val="0"/>
        <w:widowControl w:val="1"/>
        <w:spacing w:after="120" w:before="120" w:lineRule="auto"/>
        <w:jc w:val="both"/>
        <w:rPr/>
      </w:pPr>
      <w:r w:rsidDel="00000000" w:rsidR="00000000" w:rsidRPr="00000000">
        <w:rPr>
          <w:rFonts w:ascii="Times New Roman" w:cs="Times New Roman" w:eastAsia="Times New Roman" w:hAnsi="Times New Roman"/>
          <w:i w:val="0"/>
          <w:color w:val="000000"/>
          <w:sz w:val="22"/>
          <w:szCs w:val="22"/>
          <w:u w:val="none"/>
          <w:vertAlign w:val="baseline"/>
          <w:rtl w:val="0"/>
        </w:rPr>
        <w:t xml:space="preserve">Offers, all correspondence and documents related to the tender exchanged by the tenderer and the contracting authority must be written in English.</w:t>
      </w:r>
      <w:r w:rsidDel="00000000" w:rsidR="00000000" w:rsidRPr="00000000">
        <w:rPr>
          <w:rtl w:val="0"/>
        </w:rPr>
      </w:r>
    </w:p>
    <w:p w:rsidR="00000000" w:rsidDel="00000000" w:rsidP="00000000" w:rsidRDefault="00000000" w:rsidRPr="00000000" w14:paraId="00000031">
      <w:pPr>
        <w:pStyle w:val="Heading2"/>
        <w:keepNext w:val="0"/>
        <w:keepLines w:val="0"/>
        <w:widowControl w:val="1"/>
        <w:spacing w:after="120" w:before="120" w:lineRule="auto"/>
        <w:jc w:val="both"/>
        <w:rPr/>
      </w:pPr>
      <w:r w:rsidDel="00000000" w:rsidR="00000000" w:rsidRPr="00000000">
        <w:rPr>
          <w:rFonts w:ascii="Times New Roman" w:cs="Times New Roman" w:eastAsia="Times New Roman" w:hAnsi="Times New Roman"/>
          <w:i w:val="0"/>
          <w:color w:val="000000"/>
          <w:sz w:val="22"/>
          <w:szCs w:val="22"/>
          <w:u w:val="none"/>
          <w:vertAlign w:val="baseline"/>
          <w:rtl w:val="0"/>
        </w:rPr>
        <w:t xml:space="preserve">Supporting documents and printed literature furnished by the tenderer may be in another official language of the EU. For the purposes of interpreting the tender, the language of the procedure has precedence. </w:t>
      </w:r>
      <w:r w:rsidDel="00000000" w:rsidR="00000000" w:rsidRPr="00000000">
        <w:rPr>
          <w:rtl w:val="0"/>
        </w:rPr>
      </w:r>
    </w:p>
    <w:p w:rsidR="00000000" w:rsidDel="00000000" w:rsidP="00000000" w:rsidRDefault="00000000" w:rsidRPr="00000000" w14:paraId="00000032">
      <w:pPr>
        <w:keepNext w:val="0"/>
        <w:keepLines w:val="0"/>
        <w:widowControl w:val="1"/>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Failure to fulfil the requirements in clauses 4.1, 4.2 and 8 will constitute an irregularity and may result in rejection of the tender.</w:t>
      </w:r>
      <w:r w:rsidDel="00000000" w:rsidR="00000000" w:rsidRPr="00000000">
        <w:rPr>
          <w:rtl w:val="0"/>
        </w:rPr>
      </w:r>
    </w:p>
    <w:p w:rsidR="00000000" w:rsidDel="00000000" w:rsidP="00000000" w:rsidRDefault="00000000" w:rsidRPr="00000000" w14:paraId="00000034">
      <w:pPr>
        <w:keepNext w:val="0"/>
        <w:keepLines w:val="0"/>
        <w:widowControl w:val="1"/>
        <w:jc w:val="left"/>
        <w:rPr/>
      </w:pPr>
      <w:r w:rsidDel="00000000" w:rsidR="00000000" w:rsidRPr="00000000">
        <w:rPr>
          <w:rtl w:val="0"/>
        </w:rPr>
      </w:r>
    </w:p>
    <w:p w:rsidR="00000000" w:rsidDel="00000000" w:rsidP="00000000" w:rsidRDefault="00000000" w:rsidRPr="00000000" w14:paraId="00000035">
      <w:pPr>
        <w:ind w:left="567"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keepNext w:val="1"/>
        <w:keepLines w:val="1"/>
        <w:ind w:left="567"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4.1: Technical offer:</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Technical offer consists of  the documents listed below.</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documents listed in point 1 to point 4 must be submitted within the deadline for submitting tenders.</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documentary evidence listed in point 5 and 6 below should not be submitted within the deadline for submitting tenders. Instead, they should be prepared by tenderers and kept available for the contracting authority. At any time during the procurement procedure the contracting authority may request the documentary evidence. When requested, the tenderer should provide the documentary evidence within a short deadline. In any case, the tenderer proposed by the evaluation committee for the award of the contract, will be requested to provide documentary evidence listed in points 5 and 6 listed below prior to the award of the contract.</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Tender submission form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(see Part D of this tender dossier) including:</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65" w:right="0"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Signed statements of exclusivity and availability (using the template included with the tender submission form), one for each key expert, the purpose of which are as follows:</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680" w:right="0" w:hanging="4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key experts proposed in this tender must not be part of any other tender submitted for this tender procedure. They must therefore commit themselves exclusively to the tenderer.</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680" w:right="0" w:hanging="420"/>
        <w:jc w:val="both"/>
        <w:rPr>
          <w:rFonts w:ascii="sans-serif" w:cs="sans-serif" w:eastAsia="sans-serif" w:hAnsi="sans-serif"/>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Each key expert must also undertake to be available, able and willing to work for the whole period scheduled for his/her input to implement the tasks set out in the terms of reference and/or in the organization and methodology.</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8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Note that non-key experts must not be asked to sign statements of exclusivity and availability.</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8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Any expert working on an EU/EDF-financed project, where the input from his/her position to that contract could be required on the same dates as his/her activities under this contract, must not be proposed as a key expert for this contract under any circumstances. Consequently, the dates included by a key expert in his/her statement of exclusivity and availability in your tender must not overlap with dates on which he/she is committed to work as a key expert on any other contract.</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8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expert may participate in parallel tender procedures but must inform the contracting authority of these in the statement of exclusivity and availability. Furthermore, the expert is expected to notify the tenderer immediately if he/she is successful in another tender procedure and he/she is expected to accept the first engagement offered to him/her chronologically.</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8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a key expert is proposed as a key expert by more than one tenderer with the agreement of the key expert, the corresponding tenders will be rejected. The same applies if the key expert proposed has been involved in the preparation of the project. The expert concerned will be excluded from this tender procedure and may also be excluded from other EU/EDF-financed contracts.</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8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Having selected a firm partly on the basis of an evaluation of the key experts presented in the tender, the contracting authority expects the contract to be executed by these specific experts. However, after the award letter, the selected tenderer may propose replacements for the key experts under certain conditions (for further information see point 14).</w:t>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65" w:right="0"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signed</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declaration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using the format attached to the tender submission form.</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65" w:right="0"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completed</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financial identification form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(see Annex VI to the draft contract) to indicate the bank account into which payments should be made if the tender is successful. (If the tenderer has already signed another contract with the European Commission, it may provide instead either its financial identification form number or a copy of the financial identification form provided on that occasion, unless it has changed in the meantime).</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65" w:right="0"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legal entity file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supporting documents (if the tenderer has already signed another contract with the European Commission, it may provide instead either its legal entity number or a copy of the legal entity file provided on that occasion, unless it has changed its legal status in the meantime).</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65" w:right="0" w:hanging="425"/>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Duly authorised signature: an official document (statutes, power of attorney, notary statement, etc.) proving that the person who signs on behalf of the company/joint venture/consortium is duly authorised to do so. </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Organization and methodology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become Annex III to the contract), to be drawn up by the tenderer using the format in Annex III to the draft contract.</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Key experts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(to become Annex IV to the contract). The key experts are those whose involvement is considered to be instrumental to achieve the contract objectives. </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Annex IV to the draft contract contains the templates that tenderers must use, including:</w:t>
      </w:r>
    </w:p>
    <w:p w:rsidR="00000000" w:rsidDel="00000000" w:rsidP="00000000" w:rsidRDefault="00000000" w:rsidRPr="00000000" w14:paraId="0000004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list of the names of the key experts;</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CVs of each of the key experts.</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Each CV should be no longer than 3 pages and only one CV must be provided for each position identified in the terms of reference. In case of CVs longer than 3 pages, only the first 3 pages will be taken into account. Only the work experience mentioned in the CV will be considered by the evaluation committee. Non-key experts CVs are not necessary.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qualifications and experience of each key expert must clearly match the profiles indicated in the terms of reference. If an expert does not meet the minimum requirements for each evaluation criterion (i.e. qualification and skills, general professional experience and specific professional experience), he/she must be rejected. In such case the entire tender shall be rejected.</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Non key experts may also be instrumental to achieve the contract objectives. However, they are not subject to evaluation by the evaluation committee. Their positions and responsibilities may be defined in Section 6.1.2 of the terms of reference in Annex II to the draft contract.</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To be kept by the tenderer and to be provided upon request (see introductory paragraph under 4.1):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documentary proof or statements required under the law of the country in which the company (or each of the companies for consortia), the subcontractors and the capacity providing entities are effectively established, to show that it is not in any of the exclusion situations listed in Section 2.6.10.1 of the practical guide. This evidence, documents or statements must be dated, no more than one year before the date of submission of the tender. In addition, a statement must be furnished stating that the situations described in these documents have not changed since then.  </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the nature of your entity is such that it cannot fall into the exclusion situations and/or cannot provide the documents indicated above (for instance, national public administrations and international organizations), please provide a declaration explaining this situation.</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contracting authority may waive the obligation of any tenderer to submit the documentary evidence referred to above if such evidence has already been submitted for the purposes of another procurement procedure, provided that the issue date of the documents does not exceed one year and that they are still valid. In this case, the tenderer must declare on his/her honour that the documentary evidence has already been provided in a previous procurement procedure and confirm that his/her situation has not changed.</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To be kept by the tenderer and to be provided upon request (see introductory paragraph under 4.1):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documentary evidence of the financial and economic capacity as well as the technical and professional capacity according to the selection criteria specified in the  contract notice/additional information about the contract notice annex (see also Section 2.6.11 of the practical guide). For the technical selection criteria, you will only be requested to submit documentary evidence regarding the references that qualified you to be shortlisted. </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Where the documentary evidence submitted is in an official language of the European Union other than the one of the procedure, it is strongly recommended to provide a translation into the language of the procedure, in order to facilitate the evaluation of the documents. Documentary proof or statements may be in original or copy. If copies are submitted, the originals must be available to send to the contracting authority upon request.</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Tenderers are reminded that the provision of false information in this tender procedure may lead to the rejection of their tender and to their exclusion from EU-funded procedures and contracts.</w:t>
      </w:r>
      <w:r w:rsidDel="00000000" w:rsidR="00000000" w:rsidRPr="00000000">
        <w:rPr>
          <w:rtl w:val="0"/>
        </w:rPr>
      </w:r>
    </w:p>
    <w:p w:rsidR="00000000" w:rsidDel="00000000" w:rsidP="00000000" w:rsidRDefault="00000000" w:rsidRPr="00000000" w14:paraId="00000054">
      <w:pPr>
        <w:ind w:left="567"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5">
      <w:pPr>
        <w:ind w:left="720"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4.2: Financial offer:</w:t>
      </w:r>
    </w:p>
    <w:p w:rsidR="00000000" w:rsidDel="00000000" w:rsidP="00000000" w:rsidRDefault="00000000" w:rsidRPr="00000000" w14:paraId="0000005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The financial offer must be presented as an amount in </w:t>
      </w:r>
      <w:r w:rsidDel="00000000" w:rsidR="00000000" w:rsidRPr="00000000">
        <w:rPr>
          <w:rFonts w:ascii="Times New Roman" w:cs="Times New Roman" w:eastAsia="Times New Roman" w:hAnsi="Times New Roman"/>
          <w:sz w:val="22"/>
          <w:szCs w:val="22"/>
          <w:highlight w:val="white"/>
          <w:rtl w:val="0"/>
        </w:rPr>
        <w:t xml:space="preserve">Türkiye</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and must be submitted using the template for the global-price version of Annex V to part B of this tender dossier. The electronic version of this document ‘B8 — Budget for a global-price contract’ can be found on the website:</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8">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https://wikis.ec.europa.eu/display/ExactExternalWiki/Annexes#Annexes-AnnexesB(Ch.3):Servicecontracts</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The global price may be broken down by outputs if required from the terms of reference.</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Tenderers are reminded that the maximum budget available for this contract, as stated in the contract notice, is 3.048,00 TRY.</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Payments under this contract will be made in the currency of the tender. </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The applicable tax and customs arrangements are as follows.  </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single"/>
          <w:vertAlign w:val="baseline"/>
          <w:rtl w:val="0"/>
        </w:rPr>
        <w:t xml:space="preserve">Exemption of taxes</w:t>
      </w:r>
      <w:r w:rsidDel="00000000" w:rsidR="00000000" w:rsidRPr="00000000">
        <w:rPr>
          <w:rtl w:val="0"/>
        </w:rPr>
      </w:r>
    </w:p>
    <w:p w:rsidR="00000000" w:rsidDel="00000000" w:rsidP="00000000" w:rsidRDefault="00000000" w:rsidRPr="00000000" w14:paraId="0000005D">
      <w:pPr>
        <w:spacing w:after="0"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financial offer should be presented as per template (Annex IV*, Budget breakdown), adding separate sheets for details if necessary.</w:t>
      </w:r>
    </w:p>
    <w:p w:rsidR="00000000" w:rsidDel="00000000" w:rsidP="00000000" w:rsidRDefault="00000000" w:rsidRPr="00000000" w14:paraId="0000005E">
      <w:pPr>
        <w:pBdr>
          <w:top w:color="000000" w:space="1" w:sz="4" w:val="single"/>
          <w:left w:color="000000" w:space="4" w:sz="4" w:val="single"/>
          <w:bottom w:color="000000" w:space="1" w:sz="4" w:val="single"/>
          <w:right w:color="000000" w:space="4" w:sz="4" w:val="single"/>
          <w:between w:color="000000" w:space="0" w:sz="0" w:val="none"/>
        </w:pBdr>
        <w:ind w:left="850" w:firstLine="0"/>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 case of doubt about the applicable VAT system, it is the tenderer's responsibility to contact his or her national authorities to clarify the way in which the European Union is exempt from VAT.</w:t>
      </w:r>
      <w:r w:rsidDel="00000000" w:rsidR="00000000" w:rsidRPr="00000000">
        <w:rPr>
          <w:rtl w:val="0"/>
        </w:rPr>
      </w:r>
    </w:p>
    <w:p w:rsidR="00000000" w:rsidDel="00000000" w:rsidP="00000000" w:rsidRDefault="00000000" w:rsidRPr="00000000" w14:paraId="0000005F">
      <w:pPr>
        <w:spacing w:after="0" w:before="0" w:lineRule="auto"/>
        <w:ind w:left="567"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42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Variant solutions</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Tenderers are not authorised to tender for a variant in addition to this tender.</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42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Period during which tenders are binding</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Tenderers are bound by their tenders for 90 days after the deadline for submitting tenders or until they have been notified of non-award. In exceptional cases, before the period of validity expires, the contracting authority may ask tenderers to extend the period for a specific number of days, which may not exceed 40.</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selected tenderer must maintain its tender for a further 60 days. This 60-day period is added to the validity period irrespective of the date of notification.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period can be further extended when the contracting authority is required to obtain the recommendation of the panel referred to in Section 2.6.10.1.1 of the practical guide, up to the adoption of that recommendation.</w:t>
      </w:r>
      <w:r w:rsidDel="00000000" w:rsidR="00000000" w:rsidRPr="00000000">
        <w:rPr>
          <w:rtl w:val="0"/>
        </w:rPr>
      </w:r>
    </w:p>
    <w:p w:rsidR="00000000" w:rsidDel="00000000" w:rsidP="00000000" w:rsidRDefault="00000000" w:rsidRPr="00000000" w14:paraId="00000065">
      <w:pPr>
        <w:keepNext w:val="1"/>
        <w:keepLines w:val="1"/>
        <w:spacing w:after="0" w:before="0" w:lineRule="auto"/>
        <w:ind w:left="567" w:firstLine="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42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Additional information before the deadline for submitting tenders</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42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Submission of tenders</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40" w:before="28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deadline for submission of tenders is 15 days from invitation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 17:00 CET. Any tender received after this deadline will be automatically rejected.</w:t>
      </w:r>
    </w:p>
    <w:p w:rsidR="00000000" w:rsidDel="00000000" w:rsidP="00000000" w:rsidRDefault="00000000" w:rsidRPr="00000000" w14:paraId="0000006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40" w:before="28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tenderers should submit their tenders by e-mail using the standard submission form available in Annex III of the tender dossier, as a scanned original of the tender. Any tenders not using the prescribed form might be rejected by the Contracting Authority.</w:t>
      </w:r>
    </w:p>
    <w:p w:rsidR="00000000" w:rsidDel="00000000" w:rsidP="00000000" w:rsidRDefault="00000000" w:rsidRPr="00000000" w14:paraId="0000006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40" w:before="28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tender dossier, in the e-mail, the tenderer is required to provide the following supporting documentation (electronic or scanned versions preferably in pdf):</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40" w:before="280" w:line="240" w:lineRule="auto"/>
        <w:ind w:left="1260" w:right="0" w:hanging="4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Service tender submission form</w:t>
      </w:r>
    </w:p>
    <w:p w:rsidR="00000000" w:rsidDel="00000000" w:rsidP="00000000" w:rsidRDefault="00000000" w:rsidRPr="00000000" w14:paraId="0000006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40" w:before="280" w:line="240" w:lineRule="auto"/>
        <w:ind w:left="1260" w:right="0" w:hanging="4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Organization and Methodology (in format provided as annex IV).</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40" w:before="280" w:line="240" w:lineRule="auto"/>
        <w:ind w:left="1260" w:right="0" w:hanging="4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CVs of at least one expert in  evaluation to be submitted too.</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40" w:before="280" w:line="240" w:lineRule="auto"/>
        <w:ind w:left="1260" w:right="0" w:hanging="4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Budget (to be submitted by the tenderer as the financial offer using the template provided as annex V) The tenders should be submitted by e-mail. The base e-mail message should clearly indicate:</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40" w:before="280" w:line="240" w:lineRule="auto"/>
        <w:ind w:left="1260" w:right="0" w:hanging="4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of the tender (in the subject of e-mail): Expert services for SOCIAL MEDIA</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40" w:before="280" w:line="240" w:lineRule="auto"/>
        <w:ind w:left="1260" w:right="0" w:hanging="4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Reference number (in the subject of e-mail):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IPA III/2024/457-197/TK-007</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40" w:before="280" w:line="240" w:lineRule="auto"/>
        <w:ind w:left="1260" w:right="0" w:hanging="4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Name and address of the tenderer (in the e-mail text).</w:t>
      </w:r>
      <w:r w:rsidDel="00000000" w:rsidR="00000000" w:rsidRPr="00000000">
        <w:rPr>
          <w:rtl w:val="0"/>
        </w:rPr>
      </w:r>
    </w:p>
    <w:p w:rsidR="00000000" w:rsidDel="00000000" w:rsidP="00000000" w:rsidRDefault="00000000" w:rsidRPr="00000000" w14:paraId="00000073">
      <w:pPr>
        <w:keepNext w:val="1"/>
        <w:keepLines w:val="1"/>
        <w:spacing w:after="0" w:before="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40" w:before="28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tender submission form and any supporting documentation should be provi</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ded as attachments to the e- mail. The tenders will be submitted by e-mail to the following address: </w:t>
      </w:r>
      <w:hyperlink r:id="rId9">
        <w:r w:rsidDel="00000000" w:rsidR="00000000" w:rsidRPr="00000000">
          <w:rPr>
            <w:rFonts w:ascii="Times New Roman" w:cs="Times New Roman" w:eastAsia="Times New Roman" w:hAnsi="Times New Roman"/>
            <w:b w:val="1"/>
            <w:i w:val="0"/>
            <w:smallCaps w:val="0"/>
            <w:strike w:val="0"/>
            <w:color w:val="1155cc"/>
            <w:sz w:val="22"/>
            <w:szCs w:val="22"/>
            <w:highlight w:val="white"/>
            <w:u w:val="single"/>
            <w:vertAlign w:val="baseline"/>
            <w:rtl w:val="0"/>
          </w:rPr>
          <w:t xml:space="preserve">betul@redi-ngo.eu</w:t>
        </w:r>
      </w:hyperlink>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40" w:before="28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tenderers are reminded that in order to be eligible the tenders need to be received by the Contracting Authority by the deadline indicated above.   </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28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Tenderers must ensure that their submitted tenders contain all the information and documents required by the contracting authority at the time of submission as set out in the procurement documents.</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42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Amending or withdrawing tenders</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After submitting a tender, but before the deadline for receipt of tenders, a tenderer may definitively withdraw its tender, or withdraw it and replace it with a new one. A withdrawal receipt will be provided by eSubmission as proof of withdrawal.</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42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Costs for preparing tenders</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costs incurred by the tenderer in preparing and submitting the tender are reimbursable. All such costs must be borne by the tenderer, including the cost of interviewing proposed experts.</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42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Ownership of tenders</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contracting authority retains ownership of all tenders received under this tendering procedure.</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420" w:right="0" w:firstLine="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Evaluation of tenders</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6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opening of the received tenders is not public.</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60" w:before="12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Once the contracting authority has opened the tenders, they shall become its property and will be treated confidentially.</w:t>
      </w:r>
      <w:r w:rsidDel="00000000" w:rsidR="00000000" w:rsidRPr="00000000">
        <w:rPr>
          <w:rtl w:val="0"/>
        </w:rPr>
      </w:r>
    </w:p>
    <w:p w:rsidR="00000000" w:rsidDel="00000000" w:rsidP="00000000" w:rsidRDefault="00000000" w:rsidRPr="00000000" w14:paraId="00000080">
      <w:pPr>
        <w:keepNext w:val="1"/>
        <w:keepLines w:val="1"/>
        <w:spacing w:after="0" w:before="0" w:lineRule="auto"/>
        <w:ind w:left="567" w:firstLine="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12.1. Evaluation of technical offers</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quality of each technical offer will be evaluated in accordance with the award criteria and the weighting detailed in the evaluation grid in Part C of this tender dossier. No other award criteria will be used. The award criteria will be examined in accordance with the requirements indicated in the terms of reference.</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evaluation of the technical offers will follow the procedures set out in Section 3.4.10.3 of the practical guide (available on the internet at: </w:t>
      </w:r>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https://wikis.ec.europa.eu/display/ExactExternalWiki/3.+Service+Contracts</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12.1.1. Interviews </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interviews are foreseen.  </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12.2. Evaluation of financial offers</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Upon completion of the technical evaluation, the financial offers of tenders that were not eliminated during the technical evaluation will be assessed (i.e. those with an average score of 75 points or more). Tenders exceeding the maximum budget available for the contract will not be accepted and will therefore not be further evaluated.</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12.3. Choice of selected tenderer</w:t>
      </w: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best price-quality ratio is established by weighting technical quality against price on an 80/20 basis.</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12.4. Confidentiality</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entire evaluation procedure is confidential, subject to the contracting authority’s legislation on access to documents. The evaluation committee’s decisions are collective and its deliberations are held in closed session. The members of the evaluation committee are bound to secrecy. The evaluation reports and written records are for official use only and may be communicated neither to the tenderers nor to any party other than the contracting authority, the European Commission, the European Anti-Fraud Office, the European Public Prosecutor’s Office and the European Court of Auditors.</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4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Ethics clauses and code of conduct </w:t>
      </w:r>
    </w:p>
    <w:p w:rsidR="00000000" w:rsidDel="00000000" w:rsidP="00000000" w:rsidRDefault="00000000" w:rsidRPr="00000000" w14:paraId="0000008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Absence of conflict of interest</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tenderer must not be affected by any conflict of interest and must have no equivalent relation in that respect with other tenderers or parties involved in the project. 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 according to the Financial Regulation in force. </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Respect for human rights as well as environmental legislation and core labour standards</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tenderer and its personnel must comply with human rights and applicable data protection rules.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color="000000" w:space="1" w:sz="4" w:val="single"/>
          <w:left w:color="000000" w:space="32" w:sz="4" w:val="single"/>
          <w:bottom w:color="000000" w:space="0" w:sz="0" w:val="none"/>
          <w:right w:color="000000" w:space="4" w:sz="4" w:val="single"/>
          <w:between w:space="0" w:sz="0" w:val="nil"/>
        </w:pBdr>
        <w:shd w:fill="auto" w:val="clear"/>
        <w:spacing w:after="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Zero tolerance for sexual exploitation, abuse and harassment:</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color="000000" w:space="0" w:sz="0" w:val="none"/>
          <w:left w:color="000000" w:space="32" w:sz="4" w:val="single"/>
          <w:bottom w:color="000000" w:space="0" w:sz="0" w:val="none"/>
          <w:right w:color="000000" w:space="4" w:sz="4" w:val="single"/>
          <w:between w:space="0" w:sz="0" w:val="nil"/>
        </w:pBdr>
        <w:shd w:fill="auto" w:val="clear"/>
        <w:spacing w:after="0" w:before="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European Commission applies a policy of 'zero tolerance' in relation to all wrongful conduct which has an impact on the professional credibility of the tenderer. </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color="000000" w:space="0" w:sz="0" w:val="none"/>
          <w:left w:color="000000" w:space="32" w:sz="4" w:val="single"/>
          <w:bottom w:color="000000" w:space="1" w:sz="4" w:val="single"/>
          <w:right w:color="000000" w:space="4" w:sz="4" w:val="single"/>
          <w:between w:space="0" w:sz="0" w:val="nil"/>
        </w:pBdr>
        <w:shd w:fill="auto" w:val="clear"/>
        <w:spacing w:after="120" w:before="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Physical abuse or punishment, or threats of physical abuse, sexual abuse or exploitation, harassment and verbal abuse, as well as other forms of intimidation shall be prohibited.</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Anti-corruption and anti-bribery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Unusual commercial expenses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Contractors found to have paid unusual commercial expenses on projects funded by the European Union are liable, depending on the seriousness of the facts observed, to have their contracts terminated or to be permanently excluded from receiving EU funds</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Breach of obligations, irregularities or fraud</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contracting authority reserves the right to suspend or cancel the procedure, where the award procedure proves to have been subject to breach of obligations, irregularities or fraud. If breach of obligations, irregularities or fraud are discovered after the award of the contract, the contracting authority may refrain from concluding the contract.  </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Signature of contract(s)</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14.1. Notification of award</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40" w:before="28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Tenderers will be notified of the outcome of this procurement procedure by e-mail. The notification will be sent to the e-mail address provided in the e-Submission application for the tenderer (group leader in case of consortia) under the section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Contact Info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same e-mail address will be used by the contracting authority for all other communications with the tenderer. It is the tenderer's responsibility to provide a valid e-mail address and to check it regularly. </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20" w:line="240" w:lineRule="auto"/>
        <w:ind w:left="720" w:right="0" w:hanging="5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14.2. Signature of the contract(s)</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Within 30 days of receipt of the contract already signed by the contracting authority, the selected tenderer shall sign and date the contract and return it to the contracting authority.</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Failure of the selected tenderer to comply with this requirement may constitute grounds for annulling the decision to award the contract. In this event, the contracting authority may award the tender to another tenderer or cancel the tender procedure. </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other tenderers will, at the same time as the notification of award is submitted, be informed that their tenders were not retained, by electronic means or standard letter, including an indication of the relative weaknesses of their tender by way of a comparative table of the scores for the winning tender and the unsuccessful tender.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 second best tenderer is informed of the notification of award to the successful tenderer with the reservation of the possibility to receive a notification of award in case of inability to sign the contract with the first ranked tenderer. The second tenderer may refuse the award of the contract if, when receiving a notification of award, the 90 days of validity of their tender has expired.</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contracting authority will furthermore, at the same time, also inform the remaining unsuccessful tenderers of the outcome of the procurement procedure and, as a consequence of these letters, the validity of their offers shall not be retained.</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corresponding contract award notice will be published on TED. </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Cancellation of the tender procedure</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event of cancellation of the tender procedure, the contracting authority will notify tenderers of the cancellation.</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Cancellation may occur, for example, where:</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1260" w:right="0" w:hanging="4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tender procedure has been unsuccessful, i.e. no suitable, qualitatively or financially acceptable tender has been received or there is no valid response at all;</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1260" w:right="0" w:hanging="4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there are fundamental changes to the economic or technical data of the project;</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1260" w:right="0" w:hanging="4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exceptional circumstances or force majeure render normal performance of the contract impossible;</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1260" w:right="0" w:hanging="4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 technically acceptable tenders exceed the financial resources available;</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1260" w:right="0" w:hanging="4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there have been breach of obligations, irregularities or frauds in the procedure, in particular if they have prevented fair competition;</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1260" w:right="0" w:hanging="4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no event shall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 Appeals</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Tenderers believing that they have been harmed by an error or irregularity during the award process may file a complaint. See Section 2.12. of the practical guide.</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 Data Protection</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Processing of personal data related to this tender procedure by the contracting authority takes place in accordance with the national legislation of the state of the contracting authority and with the provisions of the respective financing agreement.</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Details concerning processing of your personal data by the Commission are available on the privacy statement at:</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1">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B5">
      <w:pPr>
        <w:keepNext w:val="0"/>
        <w:keepLines w:val="0"/>
        <w:widowControl w:val="1"/>
        <w:jc w:val="left"/>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cases where you are processing personal data in the context of participation to a tender (e.g. CVs of both key and technical experts) and/or implementation of a contract (e.g. replacement of experts) you shall accordingly inform the data subjects of the possible transmission of their data to EU institutions and bodies and communicate the above mentioned privacy statement to them.</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 Early detection and exclusion system </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ru288vvdim5x" w:id="7"/>
      <w:bookmarkEnd w:id="7"/>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concerned in relation to the award or the execution of a procurement contract.</w:t>
      </w:r>
      <w:r w:rsidDel="00000000" w:rsidR="00000000" w:rsidRPr="00000000">
        <w:rPr>
          <w:rtl w:val="0"/>
        </w:rPr>
      </w:r>
    </w:p>
    <w:p w:rsidR="00000000" w:rsidDel="00000000" w:rsidP="00000000" w:rsidRDefault="00000000" w:rsidRPr="00000000" w14:paraId="000000B9">
      <w:pPr>
        <w:keepNext w:val="0"/>
        <w:keepLines w:val="0"/>
        <w:widowControl w:val="1"/>
        <w:jc w:val="left"/>
        <w:rPr/>
      </w:pPr>
      <w:r w:rsidDel="00000000" w:rsidR="00000000" w:rsidRPr="00000000">
        <w:rPr>
          <w:rtl w:val="0"/>
        </w:rPr>
      </w:r>
    </w:p>
    <w:p w:rsidR="00000000" w:rsidDel="00000000" w:rsidP="00000000" w:rsidRDefault="00000000" w:rsidRPr="00000000" w14:paraId="000000BA">
      <w:pPr>
        <w:keepNext w:val="1"/>
        <w:keepLines w:val="1"/>
        <w:spacing w:after="0" w:before="0" w:lineRule="auto"/>
        <w:ind w:left="567" w:firstLine="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B">
      <w:pPr>
        <w:keepNext w:val="1"/>
        <w:keepLines w:val="1"/>
        <w:spacing w:after="0" w:before="0" w:lineRule="auto"/>
        <w:ind w:left="567" w:firstLine="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C">
      <w:pPr>
        <w:keepNext w:val="1"/>
        <w:keepLines w:val="1"/>
        <w:spacing w:after="0" w:before="0" w:lineRule="auto"/>
        <w:ind w:left="567" w:firstLine="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D">
      <w:pPr>
        <w:keepNext w:val="1"/>
        <w:keepLines w:val="1"/>
        <w:spacing w:after="0" w:before="0" w:lineRule="auto"/>
        <w:ind w:left="567" w:firstLine="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E">
      <w:pPr>
        <w:keepNext w:val="1"/>
        <w:keepLines w:val="1"/>
        <w:spacing w:after="0" w:before="0" w:lineRule="auto"/>
        <w:ind w:left="567" w:firstLine="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F">
      <w:pPr>
        <w:keepNext w:val="1"/>
        <w:keepLines w:val="1"/>
        <w:spacing w:after="0" w:before="0" w:lineRule="auto"/>
        <w:ind w:left="567" w:firstLine="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0">
      <w:pPr>
        <w:pBdr>
          <w:top w:color="000000" w:space="0" w:sz="0" w:val="none"/>
          <w:left w:color="000000" w:space="0" w:sz="0" w:val="none"/>
          <w:bottom w:color="000000" w:space="0" w:sz="0" w:val="none"/>
          <w:right w:color="000000" w:space="0" w:sz="0" w:val="none"/>
          <w:between w:color="000000" w:space="0" w:sz="0" w:val="none"/>
        </w:pBdr>
        <w:ind w:left="567" w:firstLine="0"/>
        <w:jc w:val="both"/>
        <w:rPr>
          <w:rFonts w:ascii="Times New Roman" w:cs="Times New Roman" w:eastAsia="Times New Roman" w:hAnsi="Times New Roman"/>
          <w:color w:val="000000"/>
          <w:sz w:val="22"/>
          <w:szCs w:val="22"/>
        </w:rPr>
      </w:pPr>
      <w:bookmarkStart w:colFirst="0" w:colLast="0" w:name="_heading=h.2jxsxqh" w:id="8"/>
      <w:bookmarkEnd w:id="8"/>
      <w:r w:rsidDel="00000000" w:rsidR="00000000" w:rsidRPr="00000000">
        <w:rPr>
          <w:rtl w:val="0"/>
        </w:rPr>
      </w:r>
    </w:p>
    <w:sectPr>
      <w:footerReference r:id="rId12" w:type="default"/>
      <w:footerReference r:id="rId13" w:type="first"/>
      <w:footerReference r:id="rId14" w:type="even"/>
      <w:pgSz w:h="16838" w:w="11906" w:orient="portrait"/>
      <w:pgMar w:bottom="1134" w:top="709" w:left="1134" w:right="1418" w:header="720" w:footer="46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Symbols">
    <w:embedRegular w:fontKey="{00000000-0000-0000-0000-000000000000}" r:id="rId1" w:subsetted="0"/>
    <w:embedBold w:fontKey="{00000000-0000-0000-0000-000000000000}" r:id="rId2" w:subsetted="0"/>
  </w:font>
  <w:font w:name="sans-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2">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ind w:right="360"/>
      <w:rPr>
        <w:color w:val="000000"/>
      </w:rPr>
    </w:pPr>
    <w:r w:rsidDel="00000000" w:rsidR="00000000" w:rsidRPr="00000000">
      <w:rPr>
        <w:color w:val="000000"/>
        <w:rtl w:val="0"/>
      </w:rPr>
      <w:t xml:space="preserve">2006</w:t>
      <w:tab/>
      <w:tab/>
      <w:tab/>
      <w:tab/>
      <w:tab/>
      <w:tab/>
      <w:tab/>
      <w:tab/>
      <w:tab/>
      <w:tab/>
      <w:tab/>
      <w:tab/>
      <w:tab/>
      <w:tab/>
      <w:tab/>
      <w:tab/>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 w:val="right" w:leader="none" w:pos="8647"/>
      </w:tabs>
      <w:spacing w:after="0" w:lineRule="auto"/>
      <w:ind w:right="6"/>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C4">
    <w:pPr>
      <w:spacing w:after="0" w:before="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c4b_itt_en.doc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6">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s>
      <w:ind w:right="360"/>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6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lowerLetter"/>
      <w:lvlText w:val="%1)"/>
      <w:lvlJc w:val="left"/>
      <w:pPr>
        <w:ind w:left="126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168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lowerLetter"/>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5"/>
      <w:numFmt w:val="decimal"/>
      <w:lvlText w:val="%1."/>
      <w:lvlJc w:val="left"/>
      <w:pPr>
        <w:ind w:left="420" w:hanging="420"/>
      </w:pPr>
      <w:rPr>
        <w:b w:val="1"/>
      </w:rPr>
    </w:lvl>
    <w:lvl w:ilvl="1">
      <w:start w:val="1"/>
      <w:numFmt w:val="lowerLetter"/>
      <w:lvlText w:val="%2)"/>
      <w:lvlJc w:val="left"/>
      <w:pPr>
        <w:ind w:left="1260" w:hanging="420"/>
      </w:pPr>
      <w:rPr/>
    </w:lvl>
    <w:lvl w:ilvl="2">
      <w:start w:val="1"/>
      <w:numFmt w:val="lowerRoman"/>
      <w:lvlText w:val="%3."/>
      <w:lvlJc w:val="left"/>
      <w:pPr>
        <w:ind w:left="1680" w:hanging="420"/>
      </w:pPr>
      <w:rPr/>
    </w:lvl>
    <w:lvl w:ilvl="3">
      <w:start w:val="1"/>
      <w:numFmt w:val="decimal"/>
      <w:lvlText w:val="%4."/>
      <w:lvlJc w:val="left"/>
      <w:pPr>
        <w:ind w:left="2100" w:hanging="420"/>
      </w:pPr>
      <w:rPr/>
    </w:lvl>
    <w:lvl w:ilvl="4">
      <w:start w:val="1"/>
      <w:numFmt w:val="lowerLetter"/>
      <w:lvlText w:val="%5)"/>
      <w:lvlJc w:val="left"/>
      <w:pPr>
        <w:ind w:left="2520" w:hanging="420"/>
      </w:pPr>
      <w:rPr/>
    </w:lvl>
    <w:lvl w:ilvl="5">
      <w:start w:val="1"/>
      <w:numFmt w:val="lowerRoman"/>
      <w:lvlText w:val="%6."/>
      <w:lvlJc w:val="left"/>
      <w:pPr>
        <w:ind w:left="2940" w:hanging="420"/>
      </w:pPr>
      <w:rPr/>
    </w:lvl>
    <w:lvl w:ilvl="6">
      <w:start w:val="1"/>
      <w:numFmt w:val="decimal"/>
      <w:lvlText w:val="%7."/>
      <w:lvlJc w:val="left"/>
      <w:pPr>
        <w:ind w:left="3360" w:hanging="420"/>
      </w:pPr>
      <w:rPr/>
    </w:lvl>
    <w:lvl w:ilvl="7">
      <w:start w:val="1"/>
      <w:numFmt w:val="lowerLetter"/>
      <w:lvlText w:val="%8)"/>
      <w:lvlJc w:val="left"/>
      <w:pPr>
        <w:ind w:left="3780" w:hanging="420"/>
      </w:pPr>
      <w:rPr/>
    </w:lvl>
    <w:lvl w:ilvl="8">
      <w:start w:val="1"/>
      <w:numFmt w:val="lowerRoman"/>
      <w:lvlText w:val="%9."/>
      <w:lvlJc w:val="left"/>
      <w:pPr>
        <w:ind w:left="4200" w:hanging="420"/>
      </w:pPr>
      <w:rPr/>
    </w:lvl>
  </w:abstractNum>
  <w:abstractNum w:abstractNumId="8">
    <w:lvl w:ilvl="0">
      <w:start w:val="1"/>
      <w:numFmt w:val="bullet"/>
      <w:lvlText w:val="●"/>
      <w:lvlJc w:val="left"/>
      <w:pPr>
        <w:ind w:left="126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ind w:left="567" w:hanging="567"/>
      <w:jc w:val="both"/>
    </w:pPr>
    <w:rPr>
      <w:rFonts w:ascii="Times New Roman" w:cs="Times New Roman" w:eastAsia="Times New Roman" w:hAnsi="Times New Roman"/>
      <w:b w:val="1"/>
      <w:sz w:val="28"/>
      <w:szCs w:val="28"/>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3447" w:hanging="360"/>
    </w:pPr>
    <w:rPr>
      <w:b w:val="1"/>
      <w:sz w:val="24"/>
      <w:szCs w:val="24"/>
    </w:rPr>
  </w:style>
  <w:style w:type="paragraph" w:styleId="Heading5">
    <w:name w:val="heading 5"/>
    <w:basedOn w:val="Normal"/>
    <w:next w:val="Normal"/>
    <w:pPr>
      <w:spacing w:after="60" w:before="240" w:lineRule="auto"/>
      <w:ind w:left="4167" w:hanging="36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8">
    <w:name w:val="heading 7"/>
    <w:basedOn w:val="1"/>
    <w:next w:val="1"/>
    <w:link w:val="71"/>
    <w:uiPriority w:val="0"/>
    <w:qFormat w:val="1"/>
    <w:pPr>
      <w:numPr>
        <w:ilvl w:val="6"/>
        <w:numId w:val="1"/>
      </w:numPr>
      <w:spacing w:after="60" w:before="240"/>
      <w:outlineLvl w:val="6"/>
    </w:pPr>
  </w:style>
  <w:style w:type="paragraph" w:styleId="9">
    <w:name w:val="heading 8"/>
    <w:basedOn w:val="1"/>
    <w:next w:val="1"/>
    <w:link w:val="72"/>
    <w:uiPriority w:val="0"/>
    <w:qFormat w:val="1"/>
    <w:pPr>
      <w:numPr>
        <w:ilvl w:val="7"/>
        <w:numId w:val="1"/>
      </w:numPr>
      <w:spacing w:after="60" w:before="240"/>
      <w:outlineLvl w:val="7"/>
    </w:pPr>
    <w:rPr>
      <w:i w:val="1"/>
    </w:rPr>
  </w:style>
  <w:style w:type="paragraph" w:styleId="10">
    <w:name w:val="heading 9"/>
    <w:basedOn w:val="1"/>
    <w:next w:val="1"/>
    <w:link w:val="73"/>
    <w:uiPriority w:val="0"/>
    <w:qFormat w:val="1"/>
    <w:pPr>
      <w:numPr>
        <w:ilvl w:val="8"/>
        <w:numId w:val="1"/>
      </w:numPr>
      <w:spacing w:after="60" w:before="240"/>
      <w:outlineLvl w:val="8"/>
    </w:pPr>
    <w:rPr>
      <w:b w:val="1"/>
      <w:i w:val="1"/>
      <w:sz w:val="18"/>
    </w:rPr>
  </w:style>
  <w:style w:type="character" w:styleId="11" w:default="1">
    <w:name w:val="Default Paragraph Font"/>
    <w:uiPriority w:val="1"/>
    <w:semiHidden w:val="1"/>
    <w:unhideWhenUsed w:val="1"/>
    <w:qFormat w:val="1"/>
  </w:style>
  <w:style w:type="table" w:styleId="12" w:default="1">
    <w:name w:val="Normal Table"/>
    <w:uiPriority w:val="99"/>
    <w:semiHidden w:val="1"/>
    <w:unhideWhenUsed w:val="1"/>
    <w:qFormat w:val="1"/>
    <w:tblPr>
      <w:tblCellMar>
        <w:top w:w="0.0" w:type="dxa"/>
        <w:left w:w="108.0" w:type="dxa"/>
        <w:bottom w:w="0.0" w:type="dxa"/>
        <w:right w:w="108.0" w:type="dxa"/>
      </w:tblCellMar>
    </w:tblPr>
  </w:style>
  <w:style w:type="paragraph" w:styleId="13">
    <w:name w:val="Balloon Text"/>
    <w:basedOn w:val="1"/>
    <w:uiPriority w:val="0"/>
    <w:semiHidden w:val="1"/>
    <w:qFormat w:val="1"/>
    <w:rPr>
      <w:rFonts w:ascii="Tahoma" w:cs="Tahoma" w:hAnsi="Tahoma"/>
      <w:sz w:val="16"/>
      <w:szCs w:val="16"/>
    </w:rPr>
  </w:style>
  <w:style w:type="paragraph" w:styleId="14">
    <w:name w:val="Body Text"/>
    <w:basedOn w:val="1"/>
    <w:link w:val="77"/>
    <w:uiPriority w:val="0"/>
    <w:qFormat w:val="1"/>
  </w:style>
  <w:style w:type="paragraph" w:styleId="15">
    <w:name w:val="Body Text 2"/>
    <w:basedOn w:val="1"/>
    <w:link w:val="85"/>
    <w:uiPriority w:val="0"/>
    <w:qFormat w:val="1"/>
    <w:pPr>
      <w:tabs>
        <w:tab w:val="left" w:pos="567"/>
      </w:tabs>
      <w:spacing w:after="0" w:before="0"/>
      <w:jc w:val="both"/>
    </w:pPr>
    <w:rPr>
      <w:rFonts w:ascii="Times New Roman" w:hAnsi="Times New Roman"/>
      <w:sz w:val="24"/>
      <w:lang w:eastAsia="en-GB"/>
    </w:rPr>
  </w:style>
  <w:style w:type="paragraph" w:styleId="16">
    <w:name w:val="Body Text 3"/>
    <w:basedOn w:val="1"/>
    <w:link w:val="82"/>
    <w:uiPriority w:val="0"/>
    <w:qFormat w:val="1"/>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paragraph" w:styleId="17">
    <w:name w:val="Body Text Indent"/>
    <w:basedOn w:val="1"/>
    <w:link w:val="76"/>
    <w:uiPriority w:val="0"/>
    <w:qFormat w:val="1"/>
    <w:pPr>
      <w:tabs>
        <w:tab w:val="left" w:pos="567"/>
      </w:tabs>
      <w:spacing w:after="0" w:before="0"/>
      <w:jc w:val="both"/>
    </w:pPr>
    <w:rPr>
      <w:rFonts w:ascii="Times New Roman" w:hAnsi="Times New Roman"/>
      <w:sz w:val="24"/>
    </w:rPr>
  </w:style>
  <w:style w:type="paragraph" w:styleId="18">
    <w:name w:val="Body Text Indent 2"/>
    <w:basedOn w:val="1"/>
    <w:link w:val="78"/>
    <w:uiPriority w:val="0"/>
    <w:qFormat w:val="1"/>
    <w:pPr>
      <w:tabs>
        <w:tab w:val="left" w:pos="567"/>
        <w:tab w:val="left" w:pos="2160"/>
      </w:tabs>
      <w:spacing w:after="240"/>
      <w:ind w:left="567" w:hanging="567"/>
      <w:jc w:val="both"/>
    </w:pPr>
    <w:rPr>
      <w:sz w:val="24"/>
      <w:u w:val="single"/>
    </w:rPr>
  </w:style>
  <w:style w:type="paragraph" w:styleId="19">
    <w:name w:val="Body Text Indent 3"/>
    <w:basedOn w:val="1"/>
    <w:link w:val="79"/>
    <w:uiPriority w:val="0"/>
    <w:qFormat w:val="1"/>
    <w:pPr>
      <w:tabs>
        <w:tab w:val="left" w:pos="1276"/>
      </w:tabs>
      <w:ind w:left="1276" w:hanging="425"/>
      <w:jc w:val="both"/>
    </w:pPr>
    <w:rPr>
      <w:sz w:val="24"/>
    </w:rPr>
  </w:style>
  <w:style w:type="character" w:styleId="20">
    <w:name w:val="annotation reference"/>
    <w:uiPriority w:val="0"/>
    <w:qFormat w:val="1"/>
    <w:rPr>
      <w:sz w:val="16"/>
      <w:szCs w:val="16"/>
    </w:rPr>
  </w:style>
  <w:style w:type="paragraph" w:styleId="21">
    <w:name w:val="annotation text"/>
    <w:basedOn w:val="1"/>
    <w:link w:val="93"/>
    <w:uiPriority w:val="0"/>
    <w:qFormat w:val="1"/>
  </w:style>
  <w:style w:type="paragraph" w:styleId="22">
    <w:name w:val="annotation subject"/>
    <w:basedOn w:val="21"/>
    <w:next w:val="21"/>
    <w:uiPriority w:val="0"/>
    <w:semiHidden w:val="1"/>
    <w:qFormat w:val="1"/>
    <w:rPr>
      <w:b w:val="1"/>
      <w:bCs w:val="1"/>
    </w:rPr>
  </w:style>
  <w:style w:type="paragraph" w:styleId="23">
    <w:name w:val="Document Map"/>
    <w:basedOn w:val="1"/>
    <w:link w:val="84"/>
    <w:uiPriority w:val="0"/>
    <w:semiHidden w:val="1"/>
    <w:qFormat w:val="1"/>
    <w:pPr>
      <w:shd w:color="auto" w:fill="000080" w:val="clear"/>
    </w:pPr>
    <w:rPr>
      <w:sz w:val="24"/>
      <w:lang w:val="fr-FR"/>
    </w:rPr>
  </w:style>
  <w:style w:type="character" w:styleId="24">
    <w:name w:val="Emphasis"/>
    <w:uiPriority w:val="20"/>
    <w:qFormat w:val="1"/>
    <w:rPr>
      <w:i w:val="1"/>
    </w:rPr>
  </w:style>
  <w:style w:type="character" w:styleId="25">
    <w:name w:val="endnote reference"/>
    <w:uiPriority w:val="0"/>
    <w:semiHidden w:val="1"/>
    <w:qFormat w:val="1"/>
    <w:rPr>
      <w:vertAlign w:val="superscript"/>
    </w:rPr>
  </w:style>
  <w:style w:type="paragraph" w:styleId="26">
    <w:name w:val="endnote text"/>
    <w:basedOn w:val="1"/>
    <w:uiPriority w:val="0"/>
    <w:semiHidden w:val="1"/>
    <w:qFormat w:val="1"/>
  </w:style>
  <w:style w:type="character" w:styleId="27">
    <w:name w:val="FollowedHyperlink"/>
    <w:uiPriority w:val="0"/>
    <w:qFormat w:val="1"/>
    <w:rPr>
      <w:color w:val="800080"/>
      <w:u w:val="single"/>
    </w:rPr>
  </w:style>
  <w:style w:type="paragraph" w:styleId="28">
    <w:name w:val="footer"/>
    <w:basedOn w:val="1"/>
    <w:link w:val="81"/>
    <w:uiPriority w:val="0"/>
    <w:qFormat w:val="1"/>
    <w:pPr>
      <w:tabs>
        <w:tab w:val="center" w:pos="4320"/>
        <w:tab w:val="right" w:pos="8640"/>
      </w:tabs>
    </w:pPr>
  </w:style>
  <w:style w:type="character" w:styleId="29">
    <w:name w:val="footnote reference"/>
    <w:uiPriority w:val="99"/>
    <w:qFormat w:val="1"/>
    <w:rPr>
      <w:vertAlign w:val="superscript"/>
    </w:rPr>
  </w:style>
  <w:style w:type="paragraph" w:styleId="30">
    <w:name w:val="footnote text"/>
    <w:basedOn w:val="1"/>
    <w:link w:val="83"/>
    <w:autoRedefine w:val="1"/>
    <w:uiPriority w:val="99"/>
    <w:qFormat w:val="1"/>
    <w:pPr>
      <w:spacing w:before="0"/>
    </w:pPr>
    <w:rPr>
      <w:rFonts w:ascii="Times New Roman" w:hAnsi="Times New Roman"/>
      <w:lang w:val="fr-FR"/>
    </w:rPr>
  </w:style>
  <w:style w:type="paragraph" w:styleId="31">
    <w:name w:val="header"/>
    <w:basedOn w:val="1"/>
    <w:link w:val="80"/>
    <w:uiPriority w:val="0"/>
    <w:qFormat w:val="1"/>
    <w:pPr>
      <w:tabs>
        <w:tab w:val="center" w:pos="4320"/>
        <w:tab w:val="right" w:pos="8640"/>
      </w:tabs>
    </w:pPr>
  </w:style>
  <w:style w:type="character" w:styleId="32">
    <w:name w:val="Hyperlink"/>
    <w:uiPriority w:val="0"/>
    <w:qFormat w:val="1"/>
    <w:rPr>
      <w:color w:val="0000ff"/>
      <w:u w:val="single"/>
    </w:rPr>
  </w:style>
  <w:style w:type="paragraph" w:styleId="33">
    <w:name w:val="Normal (Web)"/>
    <w:uiPriority w:val="99"/>
    <w:semiHidden w:val="1"/>
    <w:unhideWhenUsed w:val="1"/>
    <w:qFormat w:val="1"/>
    <w:pPr>
      <w:spacing w:after="0" w:afterAutospacing="1" w:before="0" w:beforeAutospacing="1"/>
      <w:ind w:left="0" w:right="0"/>
      <w:jc w:val="left"/>
    </w:pPr>
    <w:rPr>
      <w:rFonts w:ascii="Times New Roman" w:cs="Times New Roman" w:eastAsia="SimSun" w:hAnsi="Times New Roman"/>
      <w:kern w:val="0"/>
      <w:sz w:val="24"/>
      <w:szCs w:val="24"/>
      <w:lang w:bidi="ar" w:eastAsia="zh-CN" w:val="en-US"/>
    </w:rPr>
  </w:style>
  <w:style w:type="character" w:styleId="34">
    <w:name w:val="page number"/>
    <w:basedOn w:val="11"/>
    <w:uiPriority w:val="0"/>
    <w:qFormat w:val="1"/>
  </w:style>
  <w:style w:type="character" w:styleId="35">
    <w:name w:val="Strong"/>
    <w:uiPriority w:val="0"/>
    <w:qFormat w:val="1"/>
    <w:rPr>
      <w:b w:val="1"/>
    </w:rPr>
  </w:style>
  <w:style w:type="table" w:styleId="37">
    <w:name w:val="Table Grid"/>
    <w:basedOn w:val="12"/>
    <w:uiPriority w:val="0"/>
    <w:qFormat w:val="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39">
    <w:name w:val="toc 1"/>
    <w:basedOn w:val="1"/>
    <w:next w:val="1"/>
    <w:autoRedefine w:val="1"/>
    <w:uiPriority w:val="0"/>
    <w:semiHidden w:val="1"/>
    <w:qFormat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rPr>
  </w:style>
  <w:style w:type="paragraph" w:styleId="40">
    <w:name w:val="toc 2"/>
    <w:basedOn w:val="1"/>
    <w:next w:val="1"/>
    <w:autoRedefine w:val="1"/>
    <w:uiPriority w:val="0"/>
    <w:semiHidden w:val="1"/>
    <w:qFormat w:val="1"/>
    <w:pPr>
      <w:spacing w:after="0" w:before="0"/>
      <w:ind w:left="200"/>
    </w:pPr>
    <w:rPr>
      <w:rFonts w:ascii="Times New Roman" w:hAnsi="Times New Roman"/>
      <w:smallCaps w:val="1"/>
    </w:rPr>
  </w:style>
  <w:style w:type="paragraph" w:styleId="41">
    <w:name w:val="toc 3"/>
    <w:basedOn w:val="1"/>
    <w:next w:val="1"/>
    <w:autoRedefine w:val="1"/>
    <w:uiPriority w:val="0"/>
    <w:semiHidden w:val="1"/>
    <w:qFormat w:val="1"/>
    <w:pPr>
      <w:spacing w:after="0" w:before="0"/>
      <w:ind w:left="400"/>
    </w:pPr>
    <w:rPr>
      <w:rFonts w:ascii="Times New Roman" w:hAnsi="Times New Roman"/>
      <w:i w:val="1"/>
    </w:rPr>
  </w:style>
  <w:style w:type="paragraph" w:styleId="42">
    <w:name w:val="toc 4"/>
    <w:basedOn w:val="1"/>
    <w:next w:val="1"/>
    <w:autoRedefine w:val="1"/>
    <w:uiPriority w:val="0"/>
    <w:semiHidden w:val="1"/>
    <w:qFormat w:val="1"/>
    <w:pPr>
      <w:spacing w:after="0" w:before="0"/>
      <w:ind w:left="600"/>
    </w:pPr>
    <w:rPr>
      <w:rFonts w:ascii="Times New Roman" w:hAnsi="Times New Roman"/>
      <w:sz w:val="18"/>
    </w:rPr>
  </w:style>
  <w:style w:type="paragraph" w:styleId="43">
    <w:name w:val="toc 5"/>
    <w:basedOn w:val="1"/>
    <w:next w:val="1"/>
    <w:autoRedefine w:val="1"/>
    <w:uiPriority w:val="0"/>
    <w:semiHidden w:val="1"/>
    <w:qFormat w:val="1"/>
    <w:pPr>
      <w:spacing w:after="0" w:before="0"/>
      <w:ind w:left="800"/>
    </w:pPr>
    <w:rPr>
      <w:rFonts w:ascii="Times New Roman" w:hAnsi="Times New Roman"/>
      <w:sz w:val="18"/>
    </w:rPr>
  </w:style>
  <w:style w:type="paragraph" w:styleId="44">
    <w:name w:val="toc 6"/>
    <w:basedOn w:val="1"/>
    <w:next w:val="1"/>
    <w:autoRedefine w:val="1"/>
    <w:uiPriority w:val="0"/>
    <w:semiHidden w:val="1"/>
    <w:qFormat w:val="1"/>
    <w:pPr>
      <w:spacing w:after="0" w:before="0"/>
      <w:ind w:left="1000"/>
    </w:pPr>
    <w:rPr>
      <w:rFonts w:ascii="Times New Roman" w:hAnsi="Times New Roman"/>
      <w:sz w:val="18"/>
    </w:rPr>
  </w:style>
  <w:style w:type="paragraph" w:styleId="45">
    <w:name w:val="toc 7"/>
    <w:basedOn w:val="1"/>
    <w:next w:val="1"/>
    <w:autoRedefine w:val="1"/>
    <w:uiPriority w:val="0"/>
    <w:semiHidden w:val="1"/>
    <w:qFormat w:val="1"/>
    <w:pPr>
      <w:spacing w:after="0" w:before="0"/>
      <w:ind w:left="1200"/>
    </w:pPr>
    <w:rPr>
      <w:rFonts w:ascii="Times New Roman" w:hAnsi="Times New Roman"/>
      <w:sz w:val="18"/>
    </w:rPr>
  </w:style>
  <w:style w:type="paragraph" w:styleId="46">
    <w:name w:val="toc 8"/>
    <w:basedOn w:val="1"/>
    <w:next w:val="1"/>
    <w:autoRedefine w:val="1"/>
    <w:uiPriority w:val="0"/>
    <w:semiHidden w:val="1"/>
    <w:qFormat w:val="1"/>
    <w:pPr>
      <w:spacing w:after="0" w:before="0"/>
      <w:ind w:left="1400"/>
    </w:pPr>
    <w:rPr>
      <w:rFonts w:ascii="Times New Roman" w:hAnsi="Times New Roman"/>
      <w:sz w:val="18"/>
    </w:rPr>
  </w:style>
  <w:style w:type="paragraph" w:styleId="47">
    <w:name w:val="toc 9"/>
    <w:basedOn w:val="1"/>
    <w:next w:val="1"/>
    <w:autoRedefine w:val="1"/>
    <w:uiPriority w:val="0"/>
    <w:semiHidden w:val="1"/>
    <w:qFormat w:val="1"/>
    <w:pPr>
      <w:spacing w:after="0" w:before="0"/>
      <w:ind w:left="1600"/>
    </w:pPr>
    <w:rPr>
      <w:rFonts w:ascii="Times New Roman" w:hAnsi="Times New Roman"/>
      <w:sz w:val="18"/>
    </w:rPr>
  </w:style>
  <w:style w:type="table" w:styleId="48" w:customStyle="1">
    <w:name w:val="TableNormal"/>
    <w:uiPriority w:val="0"/>
    <w:qFormat w:val="1"/>
    <w:tblPr>
      <w:tblCellMar>
        <w:top w:w="0.0" w:type="dxa"/>
        <w:left w:w="0.0" w:type="dxa"/>
        <w:bottom w:w="0.0" w:type="dxa"/>
        <w:right w:w="0.0" w:type="dxa"/>
      </w:tblCellMar>
    </w:tblPr>
  </w:style>
  <w:style w:type="table" w:styleId="49" w:customStyle="1">
    <w:name w:val="Table Normal1"/>
    <w:uiPriority w:val="0"/>
    <w:qFormat w:val="1"/>
    <w:tblPr>
      <w:tblCellMar>
        <w:top w:w="0.0" w:type="dxa"/>
        <w:left w:w="0.0" w:type="dxa"/>
        <w:bottom w:w="0.0" w:type="dxa"/>
        <w:right w:w="0.0" w:type="dxa"/>
      </w:tblCellMar>
    </w:tblPr>
  </w:style>
  <w:style w:type="paragraph" w:styleId="50" w:customStyle="1">
    <w:name w:val="Text 3"/>
    <w:basedOn w:val="1"/>
    <w:uiPriority w:val="0"/>
    <w:qFormat w:val="1"/>
    <w:pPr>
      <w:tabs>
        <w:tab w:val="left" w:pos="2302"/>
      </w:tabs>
      <w:spacing w:after="240"/>
      <w:ind w:left="1202"/>
      <w:jc w:val="both"/>
    </w:pPr>
    <w:rPr>
      <w:sz w:val="24"/>
    </w:rPr>
  </w:style>
  <w:style w:type="paragraph" w:styleId="51" w:customStyle="1">
    <w:name w:val="bullet_sub"/>
    <w:basedOn w:val="1"/>
    <w:uiPriority w:val="0"/>
    <w:qFormat w:val="1"/>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52" w:customStyle="1">
    <w:name w:val="SubTitle 1"/>
    <w:basedOn w:val="1"/>
    <w:next w:val="53"/>
    <w:uiPriority w:val="0"/>
    <w:qFormat w:val="1"/>
    <w:pPr>
      <w:spacing w:after="240"/>
      <w:jc w:val="center"/>
    </w:pPr>
    <w:rPr>
      <w:b w:val="1"/>
      <w:sz w:val="40"/>
    </w:rPr>
  </w:style>
  <w:style w:type="paragraph" w:styleId="53" w:customStyle="1">
    <w:name w:val="SubTitle 2"/>
    <w:basedOn w:val="1"/>
    <w:uiPriority w:val="0"/>
    <w:qFormat w:val="1"/>
    <w:pPr>
      <w:spacing w:after="240"/>
      <w:jc w:val="center"/>
    </w:pPr>
    <w:rPr>
      <w:b w:val="1"/>
      <w:sz w:val="32"/>
    </w:rPr>
  </w:style>
  <w:style w:type="paragraph" w:styleId="54" w:customStyle="1">
    <w:name w:val="Annexe_title"/>
    <w:next w:val="1"/>
    <w:autoRedefine w:val="1"/>
    <w:uiPriority w:val="0"/>
    <w:qFormat w:val="1"/>
    <w:pPr>
      <w:pageBreakBefore w:val="1"/>
      <w:tabs>
        <w:tab w:val="left" w:pos="567"/>
        <w:tab w:val="left" w:pos="2552"/>
        <w:tab w:val="left" w:pos="7938"/>
        <w:tab w:val="left" w:pos="9072"/>
      </w:tabs>
      <w:spacing w:after="0" w:before="0"/>
    </w:pPr>
    <w:rPr>
      <w:rFonts w:ascii="Arial" w:cs="Arial" w:eastAsia="Arial" w:hAnsi="Arial"/>
      <w:caps w:val="1"/>
      <w:lang w:bidi="ar-SA" w:eastAsia="tr-TR" w:val="en-GB"/>
    </w:rPr>
  </w:style>
  <w:style w:type="paragraph" w:styleId="55" w:customStyle="1">
    <w:name w:val="Style1"/>
    <w:basedOn w:val="1"/>
    <w:uiPriority w:val="0"/>
    <w:qFormat w:val="1"/>
    <w:pPr>
      <w:keepNext w:val="1"/>
      <w:widowControl w:val="0"/>
      <w:tabs>
        <w:tab w:val="left" w:pos="992"/>
      </w:tabs>
      <w:ind w:left="992" w:hanging="992"/>
    </w:pPr>
    <w:rPr>
      <w:b w:val="1"/>
      <w:sz w:val="18"/>
      <w:lang w:val="fr-FR"/>
    </w:rPr>
  </w:style>
  <w:style w:type="paragraph" w:styleId="56" w:customStyle="1">
    <w:name w:val="title_front"/>
    <w:basedOn w:val="1"/>
    <w:uiPriority w:val="0"/>
    <w:qFormat w:val="1"/>
    <w:pPr>
      <w:spacing w:before="240"/>
      <w:ind w:left="1701"/>
      <w:jc w:val="right"/>
    </w:pPr>
    <w:rPr>
      <w:rFonts w:ascii="Optima" w:hAnsi="Optima"/>
      <w:b w:val="1"/>
      <w:sz w:val="28"/>
    </w:rPr>
  </w:style>
  <w:style w:type="paragraph" w:styleId="57" w:customStyle="1">
    <w:name w:val="Blockquote"/>
    <w:basedOn w:val="1"/>
    <w:uiPriority w:val="0"/>
    <w:qFormat w:val="1"/>
    <w:pPr>
      <w:widowControl w:val="0"/>
      <w:spacing w:after="100" w:before="100"/>
      <w:ind w:left="360" w:right="360"/>
    </w:pPr>
    <w:rPr>
      <w:sz w:val="24"/>
      <w:lang w:val="en-US"/>
    </w:rPr>
  </w:style>
  <w:style w:type="paragraph" w:styleId="58" w:customStyle="1">
    <w:name w:val="Style2"/>
    <w:basedOn w:val="55"/>
    <w:uiPriority w:val="0"/>
    <w:qFormat w:val="1"/>
    <w:pPr>
      <w:tabs>
        <w:tab w:val="left" w:pos="2091"/>
        <w:tab w:val="clear" w:pos="992"/>
      </w:tabs>
      <w:ind w:left="2977"/>
      <w:jc w:val="both"/>
    </w:pPr>
  </w:style>
  <w:style w:type="paragraph" w:styleId="59" w:customStyle="1">
    <w:name w:val="text"/>
    <w:uiPriority w:val="0"/>
    <w:qFormat w:val="1"/>
    <w:pPr>
      <w:widowControl w:val="0"/>
      <w:spacing w:after="120" w:before="240" w:line="240" w:lineRule="exact"/>
      <w:jc w:val="both"/>
    </w:pPr>
    <w:rPr>
      <w:rFonts w:ascii="Arial" w:cs="Arial" w:eastAsia="Arial" w:hAnsi="Arial"/>
      <w:snapToGrid w:val="0"/>
      <w:sz w:val="24"/>
      <w:lang w:bidi="ar-SA" w:eastAsia="en-US" w:val="cs-CZ"/>
    </w:rPr>
  </w:style>
  <w:style w:type="paragraph" w:styleId="60" w:customStyle="1">
    <w:name w:val="Section"/>
    <w:basedOn w:val="1"/>
    <w:uiPriority w:val="0"/>
    <w:qFormat w:val="1"/>
    <w:pPr>
      <w:widowControl w:val="0"/>
      <w:spacing w:after="0" w:before="0" w:line="360" w:lineRule="exact"/>
      <w:jc w:val="center"/>
    </w:pPr>
    <w:rPr>
      <w:b w:val="1"/>
      <w:sz w:val="32"/>
      <w:lang w:val="cs-CZ"/>
    </w:rPr>
  </w:style>
  <w:style w:type="paragraph" w:styleId="61" w:customStyle="1">
    <w:name w:val="Manual NumPar 1"/>
    <w:basedOn w:val="1"/>
    <w:next w:val="1"/>
    <w:uiPriority w:val="0"/>
    <w:qFormat w:val="1"/>
    <w:pPr>
      <w:ind w:left="851" w:hanging="851"/>
      <w:jc w:val="both"/>
    </w:pPr>
    <w:rPr>
      <w:rFonts w:ascii="Times New Roman" w:hAnsi="Times New Roman"/>
      <w:sz w:val="24"/>
      <w:lang w:val="fr-FR"/>
    </w:rPr>
  </w:style>
  <w:style w:type="paragraph" w:styleId="62" w:customStyle="1">
    <w:name w:val="oddíl-nadpis"/>
    <w:basedOn w:val="1"/>
    <w:uiPriority w:val="0"/>
    <w:qFormat w:val="1"/>
    <w:pPr>
      <w:keepNext w:val="1"/>
      <w:widowControl w:val="0"/>
      <w:tabs>
        <w:tab w:val="left" w:pos="567"/>
      </w:tabs>
      <w:spacing w:after="0" w:before="240" w:line="240" w:lineRule="exact"/>
    </w:pPr>
    <w:rPr>
      <w:b w:val="1"/>
      <w:sz w:val="24"/>
      <w:lang w:val="cs-CZ"/>
    </w:rPr>
  </w:style>
  <w:style w:type="paragraph" w:styleId="63" w:customStyle="1">
    <w:name w:val="Style Heading 1 + Times New Roman 14 pt Italic"/>
    <w:autoRedefine w:val="1"/>
    <w:uiPriority w:val="0"/>
    <w:qFormat w:val="1"/>
    <w:pPr>
      <w:spacing w:after="120" w:before="120"/>
    </w:pPr>
    <w:rPr>
      <w:rFonts w:ascii="Arial" w:cs="Arial" w:eastAsia="Arial" w:hAnsi="Arial"/>
      <w:bCs w:val="1"/>
      <w:iCs w:val="1"/>
      <w:sz w:val="24"/>
      <w:szCs w:val="24"/>
      <w:lang w:bidi="ar-SA" w:eastAsia="tr-TR"/>
    </w:rPr>
  </w:style>
  <w:style w:type="character" w:styleId="64" w:customStyle="1">
    <w:name w:val="Başlık 2 Char"/>
    <w:uiPriority w:val="0"/>
    <w:semiHidden w:val="1"/>
    <w:qFormat w:val="1"/>
    <w:locked w:val="1"/>
    <w:rPr>
      <w:rFonts w:ascii="Arial" w:hAnsi="Arial"/>
      <w:snapToGrid w:val="0"/>
      <w:lang w:bidi="ar-SA" w:eastAsia="en-US" w:val="fr-BE"/>
    </w:rPr>
  </w:style>
  <w:style w:type="character" w:styleId="65" w:customStyle="1">
    <w:name w:val="Başlık 1 Char"/>
    <w:uiPriority w:val="0"/>
    <w:qFormat w:val="1"/>
    <w:rPr>
      <w:b w:val="1"/>
      <w:snapToGrid w:val="0"/>
      <w:sz w:val="28"/>
      <w:lang w:eastAsia="en-US" w:val="fr-BE"/>
    </w:rPr>
  </w:style>
  <w:style w:type="character" w:styleId="66" w:customStyle="1">
    <w:name w:val="Heading 1 Char"/>
    <w:uiPriority w:val="0"/>
    <w:qFormat w:val="1"/>
    <w:locked w:val="1"/>
    <w:rPr>
      <w:b w:val="1"/>
      <w:sz w:val="24"/>
      <w:szCs w:val="24"/>
      <w:lang w:bidi="ar-SA" w:eastAsia="en-US" w:val="en-GB"/>
    </w:rPr>
  </w:style>
  <w:style w:type="character" w:styleId="67" w:customStyle="1">
    <w:name w:val="Başlık 3 Char"/>
    <w:uiPriority w:val="0"/>
    <w:semiHidden w:val="1"/>
    <w:qFormat w:val="1"/>
    <w:locked w:val="1"/>
    <w:rPr>
      <w:rFonts w:ascii="Arial" w:hAnsi="Arial"/>
      <w:snapToGrid w:val="0"/>
      <w:lang w:bidi="ar-SA" w:eastAsia="en-US" w:val="en-GB"/>
    </w:rPr>
  </w:style>
  <w:style w:type="character" w:styleId="68" w:customStyle="1">
    <w:name w:val="Başlık 4 Char"/>
    <w:uiPriority w:val="0"/>
    <w:semiHidden w:val="1"/>
    <w:qFormat w:val="1"/>
    <w:locked w:val="1"/>
    <w:rPr>
      <w:rFonts w:ascii="Arial" w:hAnsi="Arial"/>
      <w:b w:val="1"/>
      <w:snapToGrid w:val="0"/>
      <w:sz w:val="24"/>
      <w:lang w:bidi="ar-SA" w:eastAsia="en-US" w:val="sv-SE"/>
    </w:rPr>
  </w:style>
  <w:style w:type="character" w:styleId="69" w:customStyle="1">
    <w:name w:val="Başlık 5 Char"/>
    <w:uiPriority w:val="0"/>
    <w:semiHidden w:val="1"/>
    <w:qFormat w:val="1"/>
    <w:locked w:val="1"/>
    <w:rPr>
      <w:rFonts w:ascii="Arial" w:hAnsi="Arial"/>
      <w:snapToGrid w:val="0"/>
      <w:sz w:val="22"/>
      <w:lang w:bidi="ar-SA" w:eastAsia="en-US" w:val="sv-SE"/>
    </w:rPr>
  </w:style>
  <w:style w:type="character" w:styleId="70" w:customStyle="1">
    <w:name w:val="Başlık 6 Char"/>
    <w:uiPriority w:val="0"/>
    <w:semiHidden w:val="1"/>
    <w:qFormat w:val="1"/>
    <w:locked w:val="1"/>
    <w:rPr>
      <w:rFonts w:ascii="Arial" w:hAnsi="Arial"/>
      <w:i w:val="1"/>
      <w:snapToGrid w:val="0"/>
      <w:sz w:val="22"/>
      <w:lang w:bidi="ar-SA" w:eastAsia="en-US" w:val="sv-SE"/>
    </w:rPr>
  </w:style>
  <w:style w:type="character" w:styleId="71" w:customStyle="1">
    <w:name w:val="Başlık 7 Char"/>
    <w:link w:val="8"/>
    <w:uiPriority w:val="0"/>
    <w:semiHidden w:val="1"/>
    <w:qFormat w:val="1"/>
    <w:locked w:val="1"/>
    <w:rPr>
      <w:rFonts w:ascii="Arial" w:hAnsi="Arial"/>
      <w:snapToGrid w:val="0"/>
      <w:lang w:bidi="ar-SA" w:eastAsia="en-US" w:val="sv-SE"/>
    </w:rPr>
  </w:style>
  <w:style w:type="character" w:styleId="72" w:customStyle="1">
    <w:name w:val="Başlık 8 Char"/>
    <w:link w:val="9"/>
    <w:uiPriority w:val="0"/>
    <w:semiHidden w:val="1"/>
    <w:qFormat w:val="1"/>
    <w:locked w:val="1"/>
    <w:rPr>
      <w:rFonts w:ascii="Arial" w:hAnsi="Arial"/>
      <w:i w:val="1"/>
      <w:snapToGrid w:val="0"/>
      <w:lang w:bidi="ar-SA" w:eastAsia="en-US" w:val="sv-SE"/>
    </w:rPr>
  </w:style>
  <w:style w:type="character" w:styleId="73" w:customStyle="1">
    <w:name w:val="Başlık 9 Char"/>
    <w:link w:val="10"/>
    <w:uiPriority w:val="0"/>
    <w:semiHidden w:val="1"/>
    <w:qFormat w:val="1"/>
    <w:locked w:val="1"/>
    <w:rPr>
      <w:rFonts w:ascii="Arial" w:hAnsi="Arial"/>
      <w:b w:val="1"/>
      <w:i w:val="1"/>
      <w:snapToGrid w:val="0"/>
      <w:sz w:val="18"/>
      <w:lang w:bidi="ar-SA" w:eastAsia="en-US" w:val="sv-SE"/>
    </w:rPr>
  </w:style>
  <w:style w:type="character" w:styleId="74" w:customStyle="1">
    <w:name w:val="Konu Başlığı Char"/>
    <w:uiPriority w:val="0"/>
    <w:qFormat w:val="1"/>
    <w:locked w:val="1"/>
    <w:rPr>
      <w:rFonts w:ascii="Arial" w:hAnsi="Arial"/>
      <w:b w:val="1"/>
      <w:snapToGrid w:val="0"/>
      <w:sz w:val="28"/>
      <w:lang w:bidi="ar-SA" w:eastAsia="en-US" w:val="fr-BE"/>
    </w:rPr>
  </w:style>
  <w:style w:type="character" w:styleId="75" w:customStyle="1">
    <w:name w:val="Altyazı Char"/>
    <w:uiPriority w:val="0"/>
    <w:qFormat w:val="1"/>
    <w:locked w:val="1"/>
    <w:rPr>
      <w:rFonts w:ascii="Arial" w:hAnsi="Arial"/>
      <w:b w:val="1"/>
      <w:snapToGrid w:val="0"/>
      <w:sz w:val="28"/>
      <w:lang w:bidi="ar-SA" w:eastAsia="en-US" w:val="fr-BE"/>
    </w:rPr>
  </w:style>
  <w:style w:type="character" w:styleId="76" w:customStyle="1">
    <w:name w:val="Gövde Metni Girintisi Char"/>
    <w:link w:val="17"/>
    <w:uiPriority w:val="0"/>
    <w:semiHidden w:val="1"/>
    <w:qFormat w:val="1"/>
    <w:locked w:val="1"/>
    <w:rPr>
      <w:snapToGrid w:val="0"/>
      <w:sz w:val="24"/>
      <w:lang w:bidi="ar-SA" w:eastAsia="en-US" w:val="sv-SE"/>
    </w:rPr>
  </w:style>
  <w:style w:type="character" w:styleId="77" w:customStyle="1">
    <w:name w:val="Gövde Metni Char"/>
    <w:link w:val="14"/>
    <w:uiPriority w:val="0"/>
    <w:semiHidden w:val="1"/>
    <w:qFormat w:val="1"/>
    <w:locked w:val="1"/>
    <w:rPr>
      <w:rFonts w:ascii="Arial" w:hAnsi="Arial"/>
      <w:snapToGrid w:val="0"/>
      <w:lang w:bidi="ar-SA" w:eastAsia="en-US" w:val="sv-SE"/>
    </w:rPr>
  </w:style>
  <w:style w:type="character" w:styleId="78" w:customStyle="1">
    <w:name w:val="Gövde Metni Girintisi 2 Char"/>
    <w:link w:val="18"/>
    <w:uiPriority w:val="0"/>
    <w:semiHidden w:val="1"/>
    <w:qFormat w:val="1"/>
    <w:locked w:val="1"/>
    <w:rPr>
      <w:rFonts w:ascii="Arial" w:hAnsi="Arial"/>
      <w:snapToGrid w:val="0"/>
      <w:sz w:val="24"/>
      <w:u w:val="single"/>
      <w:lang w:bidi="ar-SA" w:eastAsia="en-US" w:val="sv-SE"/>
    </w:rPr>
  </w:style>
  <w:style w:type="character" w:styleId="79" w:customStyle="1">
    <w:name w:val="Gövde Metni Girintisi 3 Char"/>
    <w:link w:val="19"/>
    <w:uiPriority w:val="0"/>
    <w:semiHidden w:val="1"/>
    <w:qFormat w:val="1"/>
    <w:locked w:val="1"/>
    <w:rPr>
      <w:rFonts w:ascii="Arial" w:hAnsi="Arial"/>
      <w:snapToGrid w:val="0"/>
      <w:sz w:val="24"/>
      <w:lang w:bidi="ar-SA" w:eastAsia="en-US" w:val="sv-SE"/>
    </w:rPr>
  </w:style>
  <w:style w:type="character" w:styleId="80" w:customStyle="1">
    <w:name w:val="Üst Bilgi Char"/>
    <w:link w:val="31"/>
    <w:uiPriority w:val="0"/>
    <w:semiHidden w:val="1"/>
    <w:qFormat w:val="1"/>
    <w:locked w:val="1"/>
    <w:rPr>
      <w:rFonts w:ascii="Arial" w:hAnsi="Arial"/>
      <w:snapToGrid w:val="0"/>
      <w:lang w:bidi="ar-SA" w:eastAsia="en-US" w:val="sv-SE"/>
    </w:rPr>
  </w:style>
  <w:style w:type="character" w:styleId="81" w:customStyle="1">
    <w:name w:val="Alt Bilgi Char"/>
    <w:link w:val="28"/>
    <w:uiPriority w:val="0"/>
    <w:semiHidden w:val="1"/>
    <w:qFormat w:val="1"/>
    <w:locked w:val="1"/>
    <w:rPr>
      <w:rFonts w:ascii="Arial" w:hAnsi="Arial"/>
      <w:snapToGrid w:val="0"/>
      <w:lang w:bidi="ar-SA" w:eastAsia="en-US" w:val="sv-SE"/>
    </w:rPr>
  </w:style>
  <w:style w:type="character" w:styleId="82" w:customStyle="1">
    <w:name w:val="Gövde Metni 3 Char"/>
    <w:link w:val="16"/>
    <w:uiPriority w:val="0"/>
    <w:semiHidden w:val="1"/>
    <w:qFormat w:val="1"/>
    <w:locked w:val="1"/>
    <w:rPr>
      <w:rFonts w:ascii="Arial" w:hAnsi="Arial"/>
      <w:b w:val="1"/>
      <w:snapToGrid w:val="0"/>
      <w:sz w:val="24"/>
      <w:lang w:bidi="ar-SA" w:eastAsia="en-US" w:val="en-GB"/>
    </w:rPr>
  </w:style>
  <w:style w:type="character" w:styleId="83" w:customStyle="1">
    <w:name w:val="Dipnot Metni Char"/>
    <w:link w:val="30"/>
    <w:uiPriority w:val="99"/>
    <w:qFormat w:val="1"/>
    <w:locked w:val="1"/>
    <w:rPr>
      <w:rFonts w:ascii="Arial" w:hAnsi="Arial"/>
      <w:snapToGrid w:val="0"/>
      <w:lang w:bidi="ar-SA" w:eastAsia="en-US" w:val="fr-FR"/>
    </w:rPr>
  </w:style>
  <w:style w:type="character" w:styleId="84" w:customStyle="1">
    <w:name w:val="Belge Bağlantıları Char"/>
    <w:link w:val="23"/>
    <w:uiPriority w:val="0"/>
    <w:semiHidden w:val="1"/>
    <w:qFormat w:val="1"/>
    <w:locked w:val="1"/>
    <w:rPr>
      <w:rFonts w:ascii="Arial" w:hAnsi="Arial"/>
      <w:snapToGrid w:val="0"/>
      <w:sz w:val="24"/>
      <w:lang w:bidi="ar-SA" w:eastAsia="en-US" w:val="fr-FR"/>
    </w:rPr>
  </w:style>
  <w:style w:type="character" w:styleId="85" w:customStyle="1">
    <w:name w:val="Gövde Metni 2 Char"/>
    <w:link w:val="15"/>
    <w:uiPriority w:val="0"/>
    <w:semiHidden w:val="1"/>
    <w:qFormat w:val="1"/>
    <w:locked w:val="1"/>
    <w:rPr>
      <w:sz w:val="24"/>
      <w:lang w:bidi="ar-SA" w:eastAsia="en-GB" w:val="sv-SE"/>
    </w:rPr>
  </w:style>
  <w:style w:type="paragraph" w:styleId="86" w:customStyle="1">
    <w:name w:val="Style Heading 3"/>
    <w:basedOn w:val="1"/>
    <w:uiPriority w:val="0"/>
    <w:qFormat w:val="1"/>
    <w:pPr>
      <w:tabs>
        <w:tab w:val="left" w:pos="567"/>
      </w:tabs>
      <w:ind w:left="1134" w:hanging="567"/>
    </w:pPr>
  </w:style>
  <w:style w:type="paragraph" w:styleId="87" w:customStyle="1">
    <w:name w:val="Style 11 pt Black Justified Right:  001 cm Before:  865 pt L..."/>
    <w:basedOn w:val="1"/>
    <w:next w:val="1"/>
    <w:autoRedefine w:val="1"/>
    <w:uiPriority w:val="0"/>
    <w:qFormat w:val="1"/>
    <w:pPr>
      <w:numPr>
        <w:ilvl w:val="0"/>
        <w:numId w:val="2"/>
      </w:numPr>
      <w:shd w:color="auto" w:fill="ffffff" w:val="clear"/>
      <w:tabs>
        <w:tab w:val="right" w:pos="1701"/>
      </w:tabs>
      <w:spacing w:before="60" w:line="212" w:lineRule="exact"/>
      <w:ind w:right="6"/>
      <w:jc w:val="both"/>
    </w:pPr>
    <w:rPr>
      <w:rFonts w:ascii="Times New Roman" w:hAnsi="Times New Roman"/>
      <w:color w:val="000000"/>
      <w:sz w:val="22"/>
      <w:lang w:eastAsia="en-GB"/>
    </w:rPr>
  </w:style>
  <w:style w:type="paragraph" w:styleId="88" w:customStyle="1">
    <w:name w:val="Normal Ind 1"/>
    <w:basedOn w:val="1"/>
    <w:uiPriority w:val="0"/>
    <w:qFormat w:val="1"/>
    <w:pPr>
      <w:tabs>
        <w:tab w:val="left" w:pos="2268"/>
      </w:tabs>
      <w:overflowPunct w:val="0"/>
      <w:autoSpaceDE w:val="0"/>
      <w:autoSpaceDN w:val="0"/>
      <w:adjustRightInd w:val="0"/>
      <w:spacing w:after="0" w:before="0"/>
      <w:ind w:left="567"/>
      <w:textAlignment w:val="baseline"/>
    </w:pPr>
    <w:rPr>
      <w:rFonts w:ascii="Times New Roman" w:hAnsi="Times New Roman"/>
      <w:bCs w:val="1"/>
      <w:sz w:val="22"/>
      <w:szCs w:val="22"/>
      <w:lang w:val="fr-FR"/>
    </w:rPr>
  </w:style>
  <w:style w:type="character" w:styleId="89" w:customStyle="1">
    <w:name w:val="Style 11 pt"/>
    <w:uiPriority w:val="0"/>
    <w:qFormat w:val="1"/>
    <w:rPr>
      <w:sz w:val="22"/>
    </w:rPr>
  </w:style>
  <w:style w:type="paragraph" w:styleId="90" w:customStyle="1">
    <w:name w:val="Char2"/>
    <w:basedOn w:val="1"/>
    <w:uiPriority w:val="0"/>
    <w:qFormat w:val="1"/>
    <w:pPr>
      <w:spacing w:after="160" w:before="0" w:line="240" w:lineRule="exact"/>
    </w:pPr>
    <w:rPr>
      <w:rFonts w:ascii="Tahoma" w:hAnsi="Tahoma"/>
      <w:lang w:val="en-US"/>
    </w:rPr>
  </w:style>
  <w:style w:type="paragraph" w:styleId="91">
    <w:name w:val="List Paragraph"/>
    <w:basedOn w:val="1"/>
    <w:uiPriority w:val="34"/>
    <w:qFormat w:val="1"/>
    <w:pPr>
      <w:spacing w:after="0" w:before="0"/>
      <w:ind w:left="720"/>
    </w:pPr>
    <w:rPr>
      <w:rFonts w:ascii="Calibri" w:eastAsia="Calibri" w:hAnsi="Calibri"/>
      <w:sz w:val="22"/>
      <w:szCs w:val="22"/>
    </w:rPr>
  </w:style>
  <w:style w:type="paragraph" w:styleId="92" w:customStyle="1">
    <w:name w:val="PRAG Heading 2"/>
    <w:basedOn w:val="1"/>
    <w:uiPriority w:val="0"/>
    <w:qFormat w:val="1"/>
    <w:pPr>
      <w:widowControl w:val="0"/>
      <w:tabs>
        <w:tab w:val="left" w:pos="720"/>
      </w:tabs>
      <w:spacing w:after="100" w:before="100"/>
      <w:ind w:left="720" w:hanging="720"/>
    </w:pPr>
    <w:rPr>
      <w:rFonts w:ascii="Times New Roman" w:hAnsi="Times New Roman"/>
      <w:sz w:val="24"/>
      <w:lang w:val="fr-FR"/>
    </w:rPr>
  </w:style>
  <w:style w:type="character" w:styleId="93" w:customStyle="1">
    <w:name w:val="Açıklama Metni Char"/>
    <w:link w:val="21"/>
    <w:uiPriority w:val="0"/>
    <w:qFormat w:val="1"/>
    <w:rPr>
      <w:rFonts w:ascii="Arial" w:hAnsi="Arial"/>
      <w:snapToGrid w:val="0"/>
      <w:lang w:eastAsia="en-US"/>
    </w:rPr>
  </w:style>
  <w:style w:type="paragraph" w:styleId="94" w:customStyle="1">
    <w:name w:val="Text 1"/>
    <w:basedOn w:val="1"/>
    <w:link w:val="98"/>
    <w:uiPriority w:val="0"/>
    <w:qFormat w:val="1"/>
    <w:pPr>
      <w:ind w:left="850"/>
      <w:jc w:val="both"/>
    </w:pPr>
    <w:rPr>
      <w:rFonts w:ascii="Times New Roman" w:eastAsia="Calibri" w:hAnsi="Times New Roman"/>
      <w:sz w:val="24"/>
      <w:szCs w:val="22"/>
    </w:rPr>
  </w:style>
  <w:style w:type="paragraph" w:styleId="95" w:customStyle="1">
    <w:name w:val="Text 2"/>
    <w:basedOn w:val="1"/>
    <w:uiPriority w:val="0"/>
    <w:qFormat w:val="1"/>
    <w:pPr>
      <w:ind w:left="1417"/>
      <w:jc w:val="both"/>
    </w:pPr>
    <w:rPr>
      <w:rFonts w:ascii="Times New Roman" w:eastAsia="Calibri" w:hAnsi="Times New Roman"/>
      <w:sz w:val="24"/>
      <w:szCs w:val="22"/>
    </w:rPr>
  </w:style>
  <w:style w:type="paragraph" w:styleId="96" w:customStyle="1">
    <w:name w:val="Numbered"/>
    <w:basedOn w:val="1"/>
    <w:link w:val="97"/>
    <w:uiPriority w:val="0"/>
    <w:qFormat w:val="1"/>
    <w:pPr>
      <w:tabs>
        <w:tab w:val="left" w:pos="720"/>
      </w:tabs>
      <w:spacing w:after="0" w:before="0"/>
      <w:ind w:left="720" w:hanging="720"/>
      <w:jc w:val="both"/>
    </w:pPr>
    <w:rPr>
      <w:rFonts w:ascii="Times New Roman" w:hAnsi="Times New Roman"/>
      <w:sz w:val="24"/>
      <w:szCs w:val="24"/>
      <w:lang w:eastAsia="en-GB"/>
    </w:rPr>
  </w:style>
  <w:style w:type="character" w:styleId="97" w:customStyle="1">
    <w:name w:val="Numbered Char"/>
    <w:link w:val="96"/>
    <w:uiPriority w:val="0"/>
    <w:qFormat w:val="1"/>
    <w:rPr>
      <w:rFonts w:ascii="Times New Roman" w:hAnsi="Times New Roman"/>
      <w:sz w:val="24"/>
      <w:szCs w:val="24"/>
      <w:lang w:eastAsia="en-GB"/>
    </w:rPr>
  </w:style>
  <w:style w:type="character" w:styleId="98" w:customStyle="1">
    <w:name w:val="Text 1 Char"/>
    <w:link w:val="94"/>
    <w:uiPriority w:val="0"/>
    <w:qFormat w:val="1"/>
    <w:rPr>
      <w:rFonts w:eastAsia="Calibri"/>
      <w:sz w:val="24"/>
      <w:szCs w:val="22"/>
      <w:lang w:eastAsia="en-US"/>
    </w:rPr>
  </w:style>
  <w:style w:type="paragraph" w:styleId="99" w:customStyle="1">
    <w:name w:val="Revision"/>
    <w:hidden w:val="1"/>
    <w:uiPriority w:val="99"/>
    <w:semiHidden w:val="1"/>
    <w:qFormat w:val="1"/>
    <w:pPr>
      <w:spacing w:after="120" w:before="120"/>
    </w:pPr>
    <w:rPr>
      <w:rFonts w:ascii="Arial" w:cs="Arial" w:eastAsia="Arial" w:hAnsi="Arial"/>
      <w:snapToGrid w:val="0"/>
      <w:lang w:bidi="ar-SA" w:eastAsia="en-US"/>
    </w:rPr>
  </w:style>
  <w:style w:type="paragraph" w:styleId="100" w:customStyle="1">
    <w:name w:val="paragraph"/>
    <w:basedOn w:val="1"/>
    <w:uiPriority w:val="0"/>
    <w:qFormat w:val="1"/>
    <w:pPr>
      <w:spacing w:after="100" w:afterAutospacing="1" w:before="100" w:beforeAutospacing="1"/>
    </w:pPr>
    <w:rPr>
      <w:rFonts w:ascii="Times New Roman" w:hAnsi="Times New Roman"/>
      <w:sz w:val="24"/>
      <w:szCs w:val="24"/>
      <w:lang w:eastAsia="fr-BE" w:val="fr-BE"/>
    </w:rPr>
  </w:style>
  <w:style w:type="character" w:styleId="101" w:customStyle="1">
    <w:name w:val="normaltextrun"/>
    <w:uiPriority w:val="0"/>
    <w:qFormat w:val="1"/>
  </w:style>
  <w:style w:type="character" w:styleId="102" w:customStyle="1">
    <w:name w:val="Çözümlenmeyen Bahsetme1"/>
    <w:basedOn w:val="11"/>
    <w:uiPriority w:val="99"/>
    <w:semiHidden w:val="1"/>
    <w:unhideWhenUsed w:val="1"/>
    <w:qFormat w:val="1"/>
    <w:rPr>
      <w:color w:val="605e5c"/>
      <w:shd w:color="auto" w:fill="e1dfdd" w:val="clear"/>
    </w:rPr>
  </w:style>
  <w:style w:type="table" w:styleId="103" w:customStyle="1">
    <w:name w:val="_Style 100"/>
    <w:basedOn w:val="49"/>
    <w:uiPriority w:val="0"/>
    <w:qFormat w:val="1"/>
    <w:tblPr>
      <w:tblCellMar>
        <w:left w:w="115.0" w:type="dxa"/>
        <w:right w:w="115.0" w:type="dxa"/>
      </w:tblCellMar>
    </w:tblPr>
  </w:style>
  <w:style w:type="table" w:styleId="104" w:customStyle="1">
    <w:name w:val="_Style 102"/>
    <w:basedOn w:val="49"/>
    <w:uiPriority w:val="0"/>
    <w:qFormat w:val="1"/>
    <w:tblPr>
      <w:tblCellMar>
        <w:left w:w="115.0" w:type="dxa"/>
        <w:right w:w="115.0" w:type="dxa"/>
      </w:tblCellMar>
    </w:tbl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ikis.ec.europa.eu/display/ExactExternalWiki/Annexes#Annexes-AnnexesA(Ch.2):General" TargetMode="External"/><Relationship Id="rId10" Type="http://schemas.openxmlformats.org/officeDocument/2006/relationships/hyperlink" Target="https://wikis.ec.europa.eu/display/ExactExternalWiki/3.+Service+Contracts" TargetMode="Externa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etul@redi-ngo.eu" TargetMode="Externa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ntpa-econtent-public.s3.eu-west-1.amazonaws.com/ePrag/2021.1/ePrag-en-2021.1.pdf" TargetMode="External"/><Relationship Id="rId8" Type="http://schemas.openxmlformats.org/officeDocument/2006/relationships/hyperlink" Target="https://wikis.ec.europa.eu/display/ExactExternalWiki/Annexes#Annexes-AnnexesB(Ch.3):Servicecontrac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lhu4354bhkObMeagNr5sfj7GwA==">CgMxLjAyCGguZ2pkZ3hzMgloLjMwajB6bGwyCWguM3pueXNoNzIJaC4yZXQ5MnAwMg5oLnZpYWw1NTIwYTEwdzIIaC50eWpjd3QyCWguNDRzaW5pbzIOaC5ydTI4OHZ2ZGltNXgyCWguMmp4c3hxaDgAciExVmVnNlpjNWNibHlGelg2eFB1V3RkbkZ6MkhDX0hRbno=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2025-06-26T10:43:00Z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KSOProductBuildVer">
    <vt:lpwstr>1033-12.2.0.21546</vt:lpwstr>
  </property>
  <property fmtid="{D5CDD505-2E9C-101B-9397-08002B2CF9AE}" pid="9" name="ICV">
    <vt:lpwstr>7D62B474FEC94707BA056902C656D6BE_12</vt:lpwstr>
  </property>
</Properties>
</file>