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8605D" w14:textId="77777777" w:rsidR="00A32F5D" w:rsidRDefault="00000000">
      <w:pPr>
        <w:ind w:left="284"/>
        <w:jc w:val="center"/>
        <w:rPr>
          <w:b/>
          <w:sz w:val="28"/>
          <w:szCs w:val="28"/>
        </w:rPr>
      </w:pPr>
      <w:r>
        <w:rPr>
          <w:b/>
          <w:sz w:val="28"/>
          <w:szCs w:val="28"/>
        </w:rPr>
        <w:t>SERVICE CONTRACT NOTICE</w:t>
      </w:r>
    </w:p>
    <w:p w14:paraId="5235A414" w14:textId="77777777" w:rsidR="00A32F5D" w:rsidRDefault="00000000">
      <w:pPr>
        <w:ind w:left="284"/>
        <w:jc w:val="center"/>
        <w:rPr>
          <w:b/>
          <w:sz w:val="22"/>
          <w:szCs w:val="22"/>
        </w:rPr>
      </w:pPr>
      <w:r>
        <w:rPr>
          <w:b/>
          <w:sz w:val="28"/>
          <w:szCs w:val="28"/>
        </w:rPr>
        <w:t>Curriculum Development and Training Delivery of Business Digitalization, Business Development and Entrepreneurship aspects of Incubation, Acceleration and Growth programs</w:t>
      </w:r>
      <w:r>
        <w:t xml:space="preserve">    </w:t>
      </w:r>
      <w:r>
        <w:rPr>
          <w:b/>
          <w:sz w:val="28"/>
          <w:szCs w:val="28"/>
        </w:rPr>
        <w:br/>
        <w:t>Location – Türkiye</w:t>
      </w:r>
      <w:r>
        <w:t xml:space="preserve">           </w:t>
      </w:r>
    </w:p>
    <w:p w14:paraId="6EE47A5D" w14:textId="77777777" w:rsidR="00A32F5D" w:rsidRDefault="00000000">
      <w:pPr>
        <w:ind w:left="284"/>
        <w:rPr>
          <w:sz w:val="22"/>
          <w:szCs w:val="22"/>
        </w:rPr>
      </w:pPr>
      <w:r>
        <w:rPr>
          <w:b/>
          <w:sz w:val="22"/>
          <w:szCs w:val="22"/>
        </w:rPr>
        <w:t>1.</w:t>
      </w:r>
      <w:r>
        <w:rPr>
          <w:b/>
          <w:sz w:val="22"/>
          <w:szCs w:val="22"/>
        </w:rPr>
        <w:tab/>
        <w:t>Reference</w:t>
      </w:r>
    </w:p>
    <w:p w14:paraId="4E373F97" w14:textId="77777777" w:rsidR="00A32F5D" w:rsidRDefault="00000000">
      <w:pPr>
        <w:ind w:left="284"/>
      </w:pPr>
      <w:bookmarkStart w:id="0" w:name="_heading=h.goevxcnb3it0" w:colFirst="0" w:colLast="0"/>
      <w:bookmarkEnd w:id="0"/>
      <w:r>
        <w:t xml:space="preserve">IPA III/2024/457-197/TK-003     </w:t>
      </w:r>
    </w:p>
    <w:p w14:paraId="388F5CCC" w14:textId="77777777" w:rsidR="00A32F5D" w:rsidRDefault="00000000">
      <w:pPr>
        <w:ind w:left="284"/>
        <w:rPr>
          <w:sz w:val="22"/>
          <w:szCs w:val="22"/>
        </w:rPr>
      </w:pPr>
      <w:r>
        <w:rPr>
          <w:b/>
          <w:sz w:val="22"/>
          <w:szCs w:val="22"/>
        </w:rPr>
        <w:t>2.</w:t>
      </w:r>
      <w:r>
        <w:rPr>
          <w:b/>
          <w:sz w:val="22"/>
          <w:szCs w:val="22"/>
        </w:rPr>
        <w:tab/>
        <w:t>Procedure</w:t>
      </w:r>
    </w:p>
    <w:p w14:paraId="6EE7C8E3" w14:textId="77777777" w:rsidR="00A32F5D" w:rsidRDefault="00000000">
      <w:pPr>
        <w:pBdr>
          <w:top w:val="nil"/>
          <w:left w:val="nil"/>
          <w:bottom w:val="nil"/>
          <w:right w:val="nil"/>
          <w:between w:val="nil"/>
        </w:pBdr>
        <w:ind w:left="284" w:right="360"/>
        <w:jc w:val="both"/>
        <w:rPr>
          <w:b/>
          <w:color w:val="000000"/>
          <w:sz w:val="22"/>
          <w:szCs w:val="22"/>
        </w:rPr>
      </w:pPr>
      <w:r>
        <w:rPr>
          <w:color w:val="000000"/>
          <w:sz w:val="22"/>
          <w:szCs w:val="22"/>
        </w:rPr>
        <w:t>Simplified</w:t>
      </w:r>
      <w:r>
        <w:rPr>
          <w:b/>
          <w:color w:val="000000"/>
          <w:sz w:val="22"/>
          <w:szCs w:val="22"/>
        </w:rPr>
        <w:t xml:space="preserve"> </w:t>
      </w:r>
      <w:r>
        <w:rPr>
          <w:b/>
          <w:color w:val="000000"/>
          <w:sz w:val="22"/>
          <w:szCs w:val="22"/>
        </w:rPr>
        <w:tab/>
      </w:r>
    </w:p>
    <w:p w14:paraId="4D1290F1" w14:textId="77777777" w:rsidR="00A32F5D" w:rsidRDefault="00000000">
      <w:pPr>
        <w:pBdr>
          <w:top w:val="nil"/>
          <w:left w:val="nil"/>
          <w:bottom w:val="nil"/>
          <w:right w:val="nil"/>
          <w:between w:val="nil"/>
        </w:pBdr>
        <w:ind w:left="284" w:right="360"/>
        <w:jc w:val="both"/>
        <w:rPr>
          <w:b/>
          <w:color w:val="000000"/>
          <w:sz w:val="22"/>
          <w:szCs w:val="22"/>
        </w:rPr>
      </w:pPr>
      <w:r>
        <w:rPr>
          <w:b/>
          <w:color w:val="000000"/>
          <w:sz w:val="22"/>
          <w:szCs w:val="22"/>
        </w:rPr>
        <w:t>3. Programme title</w:t>
      </w:r>
    </w:p>
    <w:p w14:paraId="5C4F5DB8" w14:textId="77777777" w:rsidR="00A32F5D" w:rsidRDefault="00000000">
      <w:pPr>
        <w:pBdr>
          <w:top w:val="nil"/>
          <w:left w:val="nil"/>
          <w:bottom w:val="nil"/>
          <w:right w:val="nil"/>
          <w:between w:val="nil"/>
        </w:pBdr>
        <w:ind w:left="284" w:right="357"/>
        <w:rPr>
          <w:color w:val="000000"/>
        </w:rPr>
      </w:pPr>
      <w:r>
        <w:rPr>
          <w:color w:val="000000"/>
        </w:rPr>
        <w:t>EU Support to REDI Phase II: Advancing Roma Entrepreneurs in the Western Balkans and T</w:t>
      </w:r>
      <w:r>
        <w:t>ü</w:t>
      </w:r>
      <w:r>
        <w:rPr>
          <w:color w:val="000000"/>
        </w:rPr>
        <w:t xml:space="preserve">rkiye </w:t>
      </w:r>
    </w:p>
    <w:p w14:paraId="6BCB3275" w14:textId="77777777" w:rsidR="00A32F5D" w:rsidRDefault="00000000">
      <w:pPr>
        <w:ind w:left="284"/>
        <w:rPr>
          <w:sz w:val="22"/>
          <w:szCs w:val="22"/>
        </w:rPr>
      </w:pPr>
      <w:r>
        <w:rPr>
          <w:b/>
          <w:sz w:val="22"/>
          <w:szCs w:val="22"/>
        </w:rPr>
        <w:t xml:space="preserve">4. </w:t>
      </w:r>
      <w:r>
        <w:rPr>
          <w:b/>
          <w:sz w:val="22"/>
          <w:szCs w:val="22"/>
        </w:rPr>
        <w:tab/>
        <w:t>Financing</w:t>
      </w:r>
    </w:p>
    <w:p w14:paraId="6D5BB1CE" w14:textId="77777777" w:rsidR="00A32F5D" w:rsidRDefault="00000000">
      <w:pPr>
        <w:pBdr>
          <w:top w:val="nil"/>
          <w:left w:val="nil"/>
          <w:bottom w:val="nil"/>
          <w:right w:val="nil"/>
          <w:between w:val="nil"/>
        </w:pBdr>
        <w:ind w:left="284" w:right="360"/>
        <w:jc w:val="both"/>
        <w:rPr>
          <w:color w:val="000000"/>
          <w:sz w:val="22"/>
          <w:szCs w:val="22"/>
        </w:rPr>
      </w:pPr>
      <w:r>
        <w:rPr>
          <w:color w:val="000000"/>
          <w:sz w:val="22"/>
          <w:szCs w:val="22"/>
        </w:rPr>
        <w:t xml:space="preserve">Budget Line: 5.7.1 </w:t>
      </w:r>
    </w:p>
    <w:p w14:paraId="71C11D0D" w14:textId="77777777" w:rsidR="00A32F5D" w:rsidRDefault="00000000">
      <w:pPr>
        <w:ind w:left="284"/>
        <w:rPr>
          <w:sz w:val="22"/>
          <w:szCs w:val="22"/>
        </w:rPr>
      </w:pPr>
      <w:r>
        <w:rPr>
          <w:b/>
          <w:sz w:val="22"/>
          <w:szCs w:val="22"/>
        </w:rPr>
        <w:t xml:space="preserve">5. </w:t>
      </w:r>
      <w:r>
        <w:rPr>
          <w:b/>
          <w:sz w:val="22"/>
          <w:szCs w:val="22"/>
        </w:rPr>
        <w:tab/>
        <w:t>Contracting authority</w:t>
      </w:r>
    </w:p>
    <w:p w14:paraId="1884673F" w14:textId="77777777" w:rsidR="00A32F5D" w:rsidRPr="00385717" w:rsidRDefault="00000000">
      <w:pPr>
        <w:ind w:left="284"/>
        <w:rPr>
          <w:sz w:val="22"/>
          <w:szCs w:val="22"/>
          <w:lang w:val="fr-BE"/>
        </w:rPr>
      </w:pPr>
      <w:bookmarkStart w:id="1" w:name="_heading=h.60bs1134zo" w:colFirst="0" w:colLast="0"/>
      <w:bookmarkEnd w:id="1"/>
      <w:r w:rsidRPr="00385717">
        <w:rPr>
          <w:sz w:val="22"/>
          <w:szCs w:val="22"/>
          <w:lang w:val="fr-BE"/>
        </w:rPr>
        <w:t xml:space="preserve">Roma </w:t>
      </w:r>
      <w:proofErr w:type="spellStart"/>
      <w:r w:rsidRPr="00385717">
        <w:rPr>
          <w:sz w:val="22"/>
          <w:szCs w:val="22"/>
          <w:lang w:val="fr-BE"/>
        </w:rPr>
        <w:t>Entrepreneurship</w:t>
      </w:r>
      <w:proofErr w:type="spellEnd"/>
      <w:r w:rsidRPr="00385717">
        <w:rPr>
          <w:sz w:val="22"/>
          <w:szCs w:val="22"/>
          <w:lang w:val="fr-BE"/>
        </w:rPr>
        <w:t xml:space="preserve"> </w:t>
      </w:r>
      <w:proofErr w:type="spellStart"/>
      <w:r w:rsidRPr="00385717">
        <w:rPr>
          <w:sz w:val="22"/>
          <w:szCs w:val="22"/>
          <w:lang w:val="fr-BE"/>
        </w:rPr>
        <w:t>Development</w:t>
      </w:r>
      <w:proofErr w:type="spellEnd"/>
      <w:r w:rsidRPr="00385717">
        <w:rPr>
          <w:sz w:val="22"/>
          <w:szCs w:val="22"/>
          <w:lang w:val="fr-BE"/>
        </w:rPr>
        <w:t xml:space="preserve"> Initiative REDI </w:t>
      </w:r>
      <w:proofErr w:type="spellStart"/>
      <w:r w:rsidRPr="00385717">
        <w:rPr>
          <w:sz w:val="22"/>
          <w:szCs w:val="22"/>
          <w:lang w:val="fr-BE"/>
        </w:rPr>
        <w:t>Turkiye</w:t>
      </w:r>
      <w:proofErr w:type="spellEnd"/>
      <w:r w:rsidRPr="00385717">
        <w:rPr>
          <w:sz w:val="22"/>
          <w:szCs w:val="22"/>
          <w:lang w:val="fr-BE"/>
        </w:rPr>
        <w:t xml:space="preserve"> </w:t>
      </w:r>
    </w:p>
    <w:p w14:paraId="2A79A88A" w14:textId="77777777" w:rsidR="00A32F5D" w:rsidRPr="00385717" w:rsidRDefault="00000000">
      <w:pPr>
        <w:ind w:left="284"/>
        <w:rPr>
          <w:b/>
          <w:sz w:val="28"/>
          <w:szCs w:val="28"/>
          <w:lang w:val="fr-BE"/>
        </w:rPr>
      </w:pPr>
      <w:bookmarkStart w:id="2" w:name="_heading=h.d0g3g0f0gtkq" w:colFirst="0" w:colLast="0"/>
      <w:bookmarkEnd w:id="2"/>
      <w:r w:rsidRPr="00385717">
        <w:rPr>
          <w:sz w:val="22"/>
          <w:szCs w:val="22"/>
          <w:lang w:val="fr-BE"/>
        </w:rPr>
        <w:t xml:space="preserve">(Roman </w:t>
      </w:r>
      <w:proofErr w:type="spellStart"/>
      <w:r w:rsidRPr="00385717">
        <w:rPr>
          <w:sz w:val="22"/>
          <w:szCs w:val="22"/>
          <w:lang w:val="fr-BE"/>
        </w:rPr>
        <w:t>Girişimciliğini</w:t>
      </w:r>
      <w:proofErr w:type="spellEnd"/>
      <w:r w:rsidRPr="00385717">
        <w:rPr>
          <w:sz w:val="22"/>
          <w:szCs w:val="22"/>
          <w:lang w:val="fr-BE"/>
        </w:rPr>
        <w:t xml:space="preserve"> </w:t>
      </w:r>
      <w:proofErr w:type="spellStart"/>
      <w:r w:rsidRPr="00385717">
        <w:rPr>
          <w:sz w:val="22"/>
          <w:szCs w:val="22"/>
          <w:lang w:val="fr-BE"/>
        </w:rPr>
        <w:t>Geliştirme</w:t>
      </w:r>
      <w:proofErr w:type="spellEnd"/>
      <w:r w:rsidRPr="00385717">
        <w:rPr>
          <w:sz w:val="22"/>
          <w:szCs w:val="22"/>
          <w:lang w:val="fr-BE"/>
        </w:rPr>
        <w:t xml:space="preserve"> </w:t>
      </w:r>
      <w:proofErr w:type="spellStart"/>
      <w:r w:rsidRPr="00385717">
        <w:rPr>
          <w:sz w:val="22"/>
          <w:szCs w:val="22"/>
          <w:lang w:val="fr-BE"/>
        </w:rPr>
        <w:t>İnisiyatifi</w:t>
      </w:r>
      <w:proofErr w:type="spellEnd"/>
      <w:r w:rsidRPr="00385717">
        <w:rPr>
          <w:sz w:val="22"/>
          <w:szCs w:val="22"/>
          <w:lang w:val="fr-BE"/>
        </w:rPr>
        <w:t xml:space="preserve"> </w:t>
      </w:r>
      <w:proofErr w:type="spellStart"/>
      <w:r w:rsidRPr="00385717">
        <w:rPr>
          <w:sz w:val="22"/>
          <w:szCs w:val="22"/>
          <w:lang w:val="fr-BE"/>
        </w:rPr>
        <w:t>Derneği</w:t>
      </w:r>
      <w:proofErr w:type="spellEnd"/>
      <w:r w:rsidRPr="00385717">
        <w:rPr>
          <w:sz w:val="22"/>
          <w:szCs w:val="22"/>
          <w:lang w:val="fr-BE"/>
        </w:rPr>
        <w:t>)</w:t>
      </w:r>
    </w:p>
    <w:p w14:paraId="18438902" w14:textId="77777777" w:rsidR="00A32F5D" w:rsidRDefault="00000000">
      <w:pPr>
        <w:ind w:left="284"/>
        <w:jc w:val="center"/>
        <w:rPr>
          <w:sz w:val="28"/>
          <w:szCs w:val="28"/>
        </w:rPr>
      </w:pPr>
      <w:r>
        <w:rPr>
          <w:b/>
          <w:sz w:val="28"/>
          <w:szCs w:val="28"/>
        </w:rPr>
        <w:t>CONTRACT SPECIFICATION</w:t>
      </w:r>
    </w:p>
    <w:p w14:paraId="71EBC127" w14:textId="77777777" w:rsidR="00A32F5D" w:rsidRDefault="00000000">
      <w:pPr>
        <w:ind w:left="284"/>
        <w:rPr>
          <w:sz w:val="22"/>
          <w:szCs w:val="22"/>
        </w:rPr>
      </w:pPr>
      <w:r>
        <w:rPr>
          <w:b/>
          <w:sz w:val="22"/>
          <w:szCs w:val="22"/>
        </w:rPr>
        <w:t xml:space="preserve">6. </w:t>
      </w:r>
      <w:r>
        <w:rPr>
          <w:b/>
          <w:sz w:val="22"/>
          <w:szCs w:val="22"/>
        </w:rPr>
        <w:tab/>
        <w:t>Nature of contract</w:t>
      </w:r>
    </w:p>
    <w:p w14:paraId="7C5DF48B" w14:textId="77777777" w:rsidR="00A32F5D" w:rsidRDefault="00000000">
      <w:pPr>
        <w:pBdr>
          <w:top w:val="nil"/>
          <w:left w:val="nil"/>
          <w:bottom w:val="nil"/>
          <w:right w:val="nil"/>
          <w:between w:val="nil"/>
        </w:pBdr>
        <w:ind w:left="284" w:right="360"/>
        <w:jc w:val="both"/>
        <w:rPr>
          <w:i/>
          <w:color w:val="000000"/>
          <w:sz w:val="22"/>
          <w:szCs w:val="22"/>
        </w:rPr>
      </w:pPr>
      <w:r>
        <w:rPr>
          <w:color w:val="000000"/>
          <w:sz w:val="22"/>
          <w:szCs w:val="22"/>
        </w:rPr>
        <w:t>Global price</w:t>
      </w:r>
      <w:r>
        <w:t xml:space="preserve">     </w:t>
      </w:r>
    </w:p>
    <w:p w14:paraId="3B7B709B" w14:textId="77777777" w:rsidR="00A32F5D" w:rsidRDefault="00000000">
      <w:pPr>
        <w:ind w:left="284"/>
        <w:rPr>
          <w:sz w:val="22"/>
          <w:szCs w:val="22"/>
        </w:rPr>
      </w:pPr>
      <w:r>
        <w:rPr>
          <w:b/>
          <w:sz w:val="22"/>
          <w:szCs w:val="22"/>
        </w:rPr>
        <w:t xml:space="preserve">7. </w:t>
      </w:r>
      <w:r>
        <w:rPr>
          <w:b/>
          <w:sz w:val="22"/>
          <w:szCs w:val="22"/>
        </w:rPr>
        <w:tab/>
        <w:t>Contract description</w:t>
      </w:r>
    </w:p>
    <w:p w14:paraId="099BCABF" w14:textId="77777777" w:rsidR="00A32F5D" w:rsidRDefault="00000000">
      <w:pPr>
        <w:pBdr>
          <w:top w:val="nil"/>
          <w:left w:val="nil"/>
          <w:bottom w:val="nil"/>
          <w:right w:val="nil"/>
          <w:between w:val="nil"/>
        </w:pBdr>
        <w:ind w:left="284" w:right="360"/>
        <w:jc w:val="both"/>
        <w:rPr>
          <w:i/>
          <w:color w:val="000000"/>
          <w:sz w:val="22"/>
          <w:szCs w:val="22"/>
        </w:rPr>
      </w:pPr>
      <w:r>
        <w:rPr>
          <w:color w:val="000000"/>
          <w:sz w:val="22"/>
          <w:szCs w:val="22"/>
        </w:rPr>
        <w:t>The objective of this initiative is to support and foster Roma entrepreneurship through programs of incubation, acceleration and growth programs. Programs will have two aspects, digitalization and business development. The primary objective of the Expert for Business Digitalization is to develop an online training curriculum for improving digitalization outcomes within Roma entrepreneurship, followed by the delivery of a pilot cycle of incubation, acceleration and growth program. The facilitator will provide support and guidance to Roma entrepreneurs throughout their entrepreneurial journey, from introducing digitalization to its implementation. The primary objective of the Expert for Entrepreneurship and Business Development is to develop an online training curriculum for business development and entrepreneurship followed by the delivery of a pilot cycle of incubation, acceleration and growth program. Based on performance, contracts for experts will be extended beyond one year of the initial contract.</w:t>
      </w:r>
    </w:p>
    <w:p w14:paraId="38BDAC19" w14:textId="77777777" w:rsidR="00A32F5D" w:rsidRDefault="00000000">
      <w:pPr>
        <w:ind w:left="284"/>
        <w:rPr>
          <w:sz w:val="22"/>
          <w:szCs w:val="22"/>
        </w:rPr>
      </w:pPr>
      <w:r>
        <w:rPr>
          <w:b/>
          <w:sz w:val="22"/>
          <w:szCs w:val="22"/>
        </w:rPr>
        <w:t xml:space="preserve">8. </w:t>
      </w:r>
      <w:r>
        <w:rPr>
          <w:b/>
          <w:sz w:val="22"/>
          <w:szCs w:val="22"/>
        </w:rPr>
        <w:tab/>
        <w:t>Number and titles of lots</w:t>
      </w:r>
    </w:p>
    <w:p w14:paraId="5F800316" w14:textId="77777777" w:rsidR="00A32F5D" w:rsidRDefault="00000000">
      <w:pPr>
        <w:ind w:left="284"/>
        <w:rPr>
          <w:sz w:val="22"/>
          <w:szCs w:val="22"/>
        </w:rPr>
      </w:pPr>
      <w:r>
        <w:rPr>
          <w:sz w:val="22"/>
          <w:szCs w:val="22"/>
        </w:rPr>
        <w:t xml:space="preserve">Two lots </w:t>
      </w:r>
      <w:r>
        <w:t xml:space="preserve">     </w:t>
      </w:r>
    </w:p>
    <w:p w14:paraId="4D03522F" w14:textId="77777777" w:rsidR="00A32F5D" w:rsidRDefault="00000000">
      <w:pPr>
        <w:ind w:left="284"/>
        <w:rPr>
          <w:sz w:val="22"/>
          <w:szCs w:val="22"/>
        </w:rPr>
      </w:pPr>
      <w:r>
        <w:rPr>
          <w:sz w:val="22"/>
          <w:szCs w:val="22"/>
        </w:rPr>
        <w:t>Lots Titles:</w:t>
      </w:r>
    </w:p>
    <w:p w14:paraId="1374C432" w14:textId="77777777" w:rsidR="00A32F5D" w:rsidRDefault="00000000">
      <w:pPr>
        <w:ind w:left="284"/>
        <w:rPr>
          <w:sz w:val="22"/>
          <w:szCs w:val="22"/>
        </w:rPr>
      </w:pPr>
      <w:r>
        <w:rPr>
          <w:sz w:val="22"/>
          <w:szCs w:val="22"/>
        </w:rPr>
        <w:t>01 Curriculum Development and Training Delivery of Business Digitalization aspects of Incubation, Acceleration and Growth programs</w:t>
      </w:r>
    </w:p>
    <w:p w14:paraId="019773F5" w14:textId="77777777" w:rsidR="00A32F5D" w:rsidRDefault="00000000">
      <w:pPr>
        <w:ind w:left="284"/>
        <w:rPr>
          <w:sz w:val="22"/>
          <w:szCs w:val="22"/>
        </w:rPr>
      </w:pPr>
      <w:r>
        <w:rPr>
          <w:sz w:val="22"/>
          <w:szCs w:val="22"/>
        </w:rPr>
        <w:t>02 Curriculum Development and Training Delivery of Business Development and Entrepreneurship aspects of Incubation, Acceleration and Growth programs</w:t>
      </w:r>
    </w:p>
    <w:p w14:paraId="2A481D8D" w14:textId="77777777" w:rsidR="00A32F5D" w:rsidRDefault="00000000">
      <w:pPr>
        <w:ind w:left="284"/>
        <w:rPr>
          <w:b/>
          <w:sz w:val="22"/>
          <w:szCs w:val="22"/>
        </w:rPr>
      </w:pPr>
      <w:r>
        <w:rPr>
          <w:b/>
          <w:sz w:val="22"/>
          <w:szCs w:val="22"/>
        </w:rPr>
        <w:t xml:space="preserve">9. </w:t>
      </w:r>
      <w:r>
        <w:rPr>
          <w:b/>
          <w:sz w:val="22"/>
          <w:szCs w:val="22"/>
        </w:rPr>
        <w:tab/>
        <w:t>Maximum budget</w:t>
      </w:r>
    </w:p>
    <w:p w14:paraId="2BA26FC2" w14:textId="77777777" w:rsidR="00A32F5D" w:rsidRDefault="00000000">
      <w:pPr>
        <w:pBdr>
          <w:top w:val="nil"/>
          <w:left w:val="nil"/>
          <w:bottom w:val="nil"/>
          <w:right w:val="nil"/>
          <w:between w:val="nil"/>
        </w:pBdr>
        <w:ind w:left="284" w:right="360"/>
        <w:jc w:val="both"/>
        <w:rPr>
          <w:color w:val="000000"/>
          <w:sz w:val="22"/>
          <w:szCs w:val="22"/>
        </w:rPr>
      </w:pPr>
      <w:r>
        <w:rPr>
          <w:color w:val="000000"/>
          <w:sz w:val="22"/>
          <w:szCs w:val="22"/>
        </w:rPr>
        <w:t xml:space="preserve">EUR: </w:t>
      </w:r>
      <w:r>
        <w:rPr>
          <w:sz w:val="22"/>
          <w:szCs w:val="22"/>
        </w:rPr>
        <w:t>19,662.50</w:t>
      </w:r>
      <w:r>
        <w:rPr>
          <w:color w:val="000000"/>
          <w:sz w:val="22"/>
          <w:szCs w:val="22"/>
        </w:rPr>
        <w:t xml:space="preserve"> for 3 project years for both lots together. (€ 2,808.92 per module, for 7 modules.)</w:t>
      </w:r>
      <w:r>
        <w:rPr>
          <w:noProof/>
        </w:rPr>
        <mc:AlternateContent>
          <mc:Choice Requires="wps">
            <w:drawing>
              <wp:anchor distT="0" distB="0" distL="114300" distR="114300" simplePos="0" relativeHeight="251658240" behindDoc="0" locked="0" layoutInCell="1" hidden="0" allowOverlap="1" wp14:anchorId="60CD8BD6" wp14:editId="487A8122">
                <wp:simplePos x="0" y="0"/>
                <wp:positionH relativeFrom="column">
                  <wp:posOffset>114300</wp:posOffset>
                </wp:positionH>
                <wp:positionV relativeFrom="paragraph">
                  <wp:posOffset>0</wp:posOffset>
                </wp:positionV>
                <wp:extent cx="0" cy="12700"/>
                <wp:effectExtent l="0" t="0" r="0" b="0"/>
                <wp:wrapNone/>
                <wp:docPr id="11" name="Straight Arrow Connector 11"/>
                <wp:cNvGraphicFramePr/>
                <a:graphic xmlns:a="http://schemas.openxmlformats.org/drawingml/2006/main">
                  <a:graphicData uri="http://schemas.microsoft.com/office/word/2010/wordprocessingShape">
                    <wps:wsp>
                      <wps:cNvCnPr/>
                      <wps:spPr>
                        <a:xfrm>
                          <a:off x="2374200" y="3779683"/>
                          <a:ext cx="5943600" cy="635"/>
                        </a:xfrm>
                        <a:prstGeom prst="straightConnector1">
                          <a:avLst/>
                        </a:prstGeom>
                        <a:solidFill>
                          <a:srgbClr val="FFFFFF"/>
                        </a:solidFill>
                        <a:ln w="22225" cap="flat" cmpd="sng">
                          <a:solidFill>
                            <a:srgbClr val="D4D4D4"/>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14:paraId="11A63A09" w14:textId="77777777" w:rsidR="00A32F5D" w:rsidRDefault="00000000">
      <w:pPr>
        <w:ind w:left="284"/>
        <w:jc w:val="center"/>
        <w:rPr>
          <w:sz w:val="28"/>
          <w:szCs w:val="28"/>
        </w:rPr>
      </w:pPr>
      <w:r>
        <w:rPr>
          <w:b/>
          <w:sz w:val="28"/>
          <w:szCs w:val="28"/>
        </w:rPr>
        <w:lastRenderedPageBreak/>
        <w:t>CONDITIONS OF PARTICIPATION</w:t>
      </w:r>
    </w:p>
    <w:p w14:paraId="310D3137" w14:textId="77777777" w:rsidR="00A32F5D" w:rsidRDefault="00000000">
      <w:pPr>
        <w:pBdr>
          <w:top w:val="nil"/>
          <w:left w:val="nil"/>
          <w:bottom w:val="nil"/>
          <w:right w:val="nil"/>
          <w:between w:val="nil"/>
        </w:pBdr>
        <w:ind w:left="284"/>
        <w:rPr>
          <w:b/>
          <w:color w:val="000000"/>
          <w:sz w:val="22"/>
          <w:szCs w:val="22"/>
        </w:rPr>
      </w:pPr>
      <w:r>
        <w:rPr>
          <w:b/>
          <w:color w:val="000000"/>
          <w:sz w:val="22"/>
          <w:szCs w:val="22"/>
        </w:rPr>
        <w:t>10. Legal basis, eligibility and rules of origin</w:t>
      </w:r>
      <w:r>
        <w:t xml:space="preserve">                                                  </w:t>
      </w:r>
    </w:p>
    <w:p w14:paraId="6225E72E" w14:textId="77777777" w:rsidR="00A32F5D" w:rsidRDefault="00000000">
      <w:pPr>
        <w:widowControl/>
        <w:pBdr>
          <w:top w:val="nil"/>
          <w:left w:val="nil"/>
          <w:bottom w:val="nil"/>
          <w:right w:val="nil"/>
          <w:between w:val="nil"/>
        </w:pBdr>
        <w:spacing w:before="0" w:after="0"/>
        <w:ind w:left="284"/>
        <w:jc w:val="both"/>
        <w:rPr>
          <w:color w:val="000000"/>
          <w:sz w:val="22"/>
          <w:szCs w:val="22"/>
        </w:rPr>
      </w:pPr>
      <w:r>
        <w:rPr>
          <w:color w:val="000000"/>
          <w:sz w:val="22"/>
          <w:szCs w:val="22"/>
        </w:rPr>
        <w:t xml:space="preserve">The legal basis of this procedure is Regulation (EU) No [1529] establishing the Instrument for Pre-accession Assistance (IPA III). </w:t>
      </w:r>
      <w:r>
        <w:rPr>
          <w:color w:val="000000"/>
        </w:rPr>
        <w:t>S</w:t>
      </w:r>
      <w:r>
        <w:rPr>
          <w:color w:val="000000"/>
          <w:sz w:val="22"/>
          <w:szCs w:val="22"/>
        </w:rPr>
        <w:t>ee Annex A2 of the practical guide.</w:t>
      </w:r>
    </w:p>
    <w:p w14:paraId="6322A9E3" w14:textId="77777777" w:rsidR="00A32F5D" w:rsidRDefault="00A32F5D">
      <w:pPr>
        <w:widowControl/>
        <w:pBdr>
          <w:top w:val="nil"/>
          <w:left w:val="nil"/>
          <w:bottom w:val="nil"/>
          <w:right w:val="nil"/>
          <w:between w:val="nil"/>
        </w:pBdr>
        <w:spacing w:before="0" w:after="0"/>
        <w:ind w:firstLine="284"/>
        <w:jc w:val="both"/>
        <w:rPr>
          <w:rFonts w:ascii="Quattrocento Sans" w:eastAsia="Quattrocento Sans" w:hAnsi="Quattrocento Sans" w:cs="Quattrocento Sans"/>
          <w:color w:val="000000"/>
          <w:sz w:val="22"/>
          <w:szCs w:val="22"/>
        </w:rPr>
      </w:pPr>
    </w:p>
    <w:p w14:paraId="43DC4746" w14:textId="77777777" w:rsidR="00A32F5D" w:rsidRDefault="00000000">
      <w:pPr>
        <w:widowControl/>
        <w:pBdr>
          <w:top w:val="nil"/>
          <w:left w:val="nil"/>
          <w:bottom w:val="nil"/>
          <w:right w:val="nil"/>
          <w:between w:val="nil"/>
        </w:pBdr>
        <w:spacing w:before="0" w:after="0"/>
        <w:ind w:left="284"/>
        <w:jc w:val="both"/>
        <w:rPr>
          <w:color w:val="000000"/>
          <w:sz w:val="22"/>
          <w:szCs w:val="22"/>
        </w:rPr>
      </w:pPr>
      <w:r>
        <w:rPr>
          <w:color w:val="000000"/>
          <w:sz w:val="22"/>
          <w:szCs w:val="22"/>
        </w:rPr>
        <w:t>For this contract award procedure, participation is open to all natural persons who are nationals of and legal persons (participating either individually or in a grouping – consortium – of candidates/tenderers) which are effectively established in a  Member State of the European Union or in an eligible country or territory as defined under Article 11 of Regulation (EU) No [1529]  establishing the Instrument for Pre-accession Assistance (IPA III). ]</w:t>
      </w:r>
    </w:p>
    <w:p w14:paraId="74A73227" w14:textId="77777777" w:rsidR="00A32F5D" w:rsidRDefault="00000000">
      <w:pPr>
        <w:widowControl/>
        <w:pBdr>
          <w:top w:val="nil"/>
          <w:left w:val="nil"/>
          <w:bottom w:val="nil"/>
          <w:right w:val="nil"/>
          <w:between w:val="nil"/>
        </w:pBdr>
        <w:spacing w:before="0" w:after="0"/>
        <w:jc w:val="both"/>
        <w:rPr>
          <w:color w:val="000000"/>
          <w:sz w:val="22"/>
          <w:szCs w:val="22"/>
          <w:highlight w:val="yellow"/>
        </w:rPr>
      </w:pPr>
      <w:r>
        <w:t xml:space="preserve">   </w:t>
      </w:r>
    </w:p>
    <w:p w14:paraId="4D3BE752" w14:textId="77777777" w:rsidR="00A32F5D" w:rsidRDefault="00000000">
      <w:pPr>
        <w:widowControl/>
        <w:pBdr>
          <w:top w:val="nil"/>
          <w:left w:val="nil"/>
          <w:bottom w:val="nil"/>
          <w:right w:val="nil"/>
          <w:between w:val="nil"/>
        </w:pBdr>
        <w:spacing w:before="0" w:after="0"/>
        <w:ind w:left="284"/>
        <w:jc w:val="both"/>
        <w:rPr>
          <w:color w:val="000000"/>
          <w:sz w:val="22"/>
          <w:szCs w:val="22"/>
        </w:rPr>
      </w:pPr>
      <w:r>
        <w:rPr>
          <w:color w:val="000000"/>
          <w:sz w:val="22"/>
          <w:szCs w:val="22"/>
        </w:rPr>
        <w:t xml:space="preserve">Participation in this procurement procedure is open on equal terms to all natural and legal persons falling within the scope of the Treaties. </w:t>
      </w:r>
    </w:p>
    <w:p w14:paraId="0E261706" w14:textId="77777777" w:rsidR="00A32F5D" w:rsidRDefault="00A32F5D">
      <w:pPr>
        <w:widowControl/>
        <w:pBdr>
          <w:top w:val="nil"/>
          <w:left w:val="nil"/>
          <w:bottom w:val="nil"/>
          <w:right w:val="nil"/>
          <w:between w:val="nil"/>
        </w:pBdr>
        <w:spacing w:before="0" w:after="0"/>
        <w:ind w:left="284"/>
        <w:jc w:val="both"/>
        <w:rPr>
          <w:color w:val="000000"/>
          <w:sz w:val="22"/>
          <w:szCs w:val="22"/>
        </w:rPr>
      </w:pPr>
    </w:p>
    <w:p w14:paraId="664DF9AC" w14:textId="77777777" w:rsidR="00A32F5D" w:rsidRDefault="00000000">
      <w:pPr>
        <w:widowControl/>
        <w:pBdr>
          <w:top w:val="nil"/>
          <w:left w:val="nil"/>
          <w:bottom w:val="nil"/>
          <w:right w:val="nil"/>
          <w:between w:val="nil"/>
        </w:pBdr>
        <w:spacing w:before="0" w:after="0"/>
        <w:ind w:left="284"/>
        <w:jc w:val="both"/>
        <w:rPr>
          <w:b/>
          <w:sz w:val="22"/>
          <w:szCs w:val="22"/>
        </w:rPr>
      </w:pPr>
      <w:r>
        <w:rPr>
          <w:color w:val="000000"/>
          <w:sz w:val="22"/>
          <w:szCs w:val="22"/>
        </w:rPr>
        <w:t>Participation is also open to international organisations.</w:t>
      </w:r>
      <w:r>
        <w:t xml:space="preserve">                                                                                                                   </w:t>
      </w:r>
    </w:p>
    <w:p w14:paraId="58703A09" w14:textId="77777777" w:rsidR="00A32F5D" w:rsidRDefault="00000000">
      <w:pPr>
        <w:ind w:left="284"/>
        <w:rPr>
          <w:sz w:val="22"/>
          <w:szCs w:val="22"/>
        </w:rPr>
      </w:pPr>
      <w:bookmarkStart w:id="3" w:name="_heading=h.qitkqcf65pps" w:colFirst="0" w:colLast="0"/>
      <w:bookmarkEnd w:id="3"/>
      <w:r>
        <w:rPr>
          <w:b/>
          <w:sz w:val="22"/>
          <w:szCs w:val="22"/>
        </w:rPr>
        <w:t xml:space="preserve">11. </w:t>
      </w:r>
      <w:r>
        <w:rPr>
          <w:b/>
          <w:sz w:val="22"/>
          <w:szCs w:val="22"/>
        </w:rPr>
        <w:tab/>
        <w:t>Number of tenders</w:t>
      </w:r>
    </w:p>
    <w:p w14:paraId="646F6374" w14:textId="77777777" w:rsidR="00A32F5D" w:rsidRDefault="00000000">
      <w:pPr>
        <w:pBdr>
          <w:top w:val="nil"/>
          <w:left w:val="nil"/>
          <w:bottom w:val="nil"/>
          <w:right w:val="nil"/>
          <w:between w:val="nil"/>
        </w:pBdr>
        <w:ind w:left="284" w:right="360"/>
        <w:jc w:val="both"/>
        <w:rPr>
          <w:color w:val="000000"/>
          <w:sz w:val="22"/>
          <w:szCs w:val="22"/>
        </w:rPr>
      </w:pPr>
      <w:r>
        <w:rPr>
          <w:color w:val="000000"/>
          <w:sz w:val="22"/>
          <w:szCs w:val="22"/>
        </w:rPr>
        <w:t xml:space="preserve">No more than one tender can be submitted by a natural or legal person whatever the form of participation (as an individual legal entity or as leader or member of a consortium submitting a tender).  </w:t>
      </w:r>
      <w:proofErr w:type="gramStart"/>
      <w:r>
        <w:rPr>
          <w:color w:val="000000"/>
          <w:sz w:val="22"/>
          <w:szCs w:val="22"/>
        </w:rPr>
        <w:t>In the event that</w:t>
      </w:r>
      <w:proofErr w:type="gramEnd"/>
      <w:r>
        <w:rPr>
          <w:color w:val="000000"/>
          <w:sz w:val="22"/>
          <w:szCs w:val="22"/>
        </w:rPr>
        <w:t xml:space="preserve"> a natural or legal person submits more than one tender, all tenders in which that person has participated will be excluded.</w:t>
      </w:r>
    </w:p>
    <w:p w14:paraId="20474078" w14:textId="77777777" w:rsidR="00A32F5D" w:rsidRDefault="00000000">
      <w:pPr>
        <w:pBdr>
          <w:top w:val="nil"/>
          <w:left w:val="nil"/>
          <w:bottom w:val="nil"/>
          <w:right w:val="nil"/>
          <w:between w:val="nil"/>
        </w:pBdr>
        <w:ind w:left="284" w:right="360"/>
        <w:jc w:val="both"/>
        <w:rPr>
          <w:color w:val="000000"/>
          <w:sz w:val="22"/>
          <w:szCs w:val="22"/>
        </w:rPr>
      </w:pPr>
      <w:r>
        <w:rPr>
          <w:color w:val="000000"/>
          <w:sz w:val="22"/>
          <w:szCs w:val="22"/>
        </w:rPr>
        <w:t>2 lots</w:t>
      </w:r>
      <w:r>
        <w:t xml:space="preserve">     </w:t>
      </w:r>
      <w:r>
        <w:rPr>
          <w:color w:val="000000"/>
          <w:sz w:val="22"/>
          <w:szCs w:val="22"/>
        </w:rPr>
        <w:t xml:space="preserve"> No restrictions may be made in the number of lots a tenderer can be awarded.</w:t>
      </w:r>
    </w:p>
    <w:p w14:paraId="68810193" w14:textId="3AC1C9F3" w:rsidR="00A32F5D" w:rsidRDefault="00000000">
      <w:pPr>
        <w:pBdr>
          <w:top w:val="nil"/>
          <w:left w:val="nil"/>
          <w:bottom w:val="nil"/>
          <w:right w:val="nil"/>
          <w:between w:val="nil"/>
        </w:pBdr>
        <w:ind w:left="284" w:right="360"/>
        <w:jc w:val="both"/>
        <w:rPr>
          <w:i/>
          <w:color w:val="000000"/>
          <w:sz w:val="22"/>
          <w:szCs w:val="22"/>
        </w:rPr>
      </w:pPr>
      <w:r>
        <w:rPr>
          <w:color w:val="000000"/>
          <w:sz w:val="22"/>
          <w:szCs w:val="22"/>
        </w:rPr>
        <w:t xml:space="preserve">The tenderer may submit a tender for one lot only, several lots or </w:t>
      </w:r>
      <w:proofErr w:type="gramStart"/>
      <w:r>
        <w:rPr>
          <w:color w:val="000000"/>
          <w:sz w:val="22"/>
          <w:szCs w:val="22"/>
        </w:rPr>
        <w:t>all of</w:t>
      </w:r>
      <w:proofErr w:type="gramEnd"/>
      <w:r>
        <w:rPr>
          <w:color w:val="000000"/>
          <w:sz w:val="22"/>
          <w:szCs w:val="22"/>
        </w:rPr>
        <w:t xml:space="preserve"> the lots, but only one tender per lot. Contracts will be awarded lot by lot and each lot will form </w:t>
      </w:r>
      <w:proofErr w:type="gramStart"/>
      <w:r>
        <w:rPr>
          <w:color w:val="000000"/>
          <w:sz w:val="22"/>
          <w:szCs w:val="22"/>
        </w:rPr>
        <w:t>a</w:t>
      </w:r>
      <w:proofErr w:type="gramEnd"/>
      <w:r>
        <w:rPr>
          <w:color w:val="000000"/>
          <w:sz w:val="22"/>
          <w:szCs w:val="22"/>
        </w:rPr>
        <w:t xml:space="preserve"> </w:t>
      </w:r>
      <w:r w:rsidR="00385717">
        <w:rPr>
          <w:color w:val="000000"/>
          <w:sz w:val="22"/>
          <w:szCs w:val="22"/>
        </w:rPr>
        <w:tab/>
      </w:r>
      <w:proofErr w:type="spellStart"/>
      <w:r>
        <w:rPr>
          <w:color w:val="000000"/>
          <w:sz w:val="22"/>
          <w:szCs w:val="22"/>
        </w:rPr>
        <w:t>arate</w:t>
      </w:r>
      <w:proofErr w:type="spellEnd"/>
      <w:r>
        <w:rPr>
          <w:color w:val="000000"/>
          <w:sz w:val="22"/>
          <w:szCs w:val="22"/>
        </w:rPr>
        <w:t xml:space="preserve"> contract. </w:t>
      </w:r>
    </w:p>
    <w:p w14:paraId="38265745" w14:textId="77777777" w:rsidR="00A32F5D" w:rsidRDefault="00000000">
      <w:pPr>
        <w:ind w:left="284"/>
        <w:rPr>
          <w:sz w:val="22"/>
          <w:szCs w:val="22"/>
        </w:rPr>
      </w:pPr>
      <w:r>
        <w:rPr>
          <w:b/>
          <w:sz w:val="22"/>
          <w:szCs w:val="22"/>
        </w:rPr>
        <w:t xml:space="preserve">12. </w:t>
      </w:r>
      <w:r>
        <w:rPr>
          <w:b/>
          <w:sz w:val="22"/>
          <w:szCs w:val="22"/>
        </w:rPr>
        <w:tab/>
        <w:t>Grounds for exclusion</w:t>
      </w:r>
    </w:p>
    <w:p w14:paraId="31EEB700" w14:textId="77777777" w:rsidR="00A32F5D" w:rsidRDefault="00000000">
      <w:pPr>
        <w:pBdr>
          <w:top w:val="nil"/>
          <w:left w:val="nil"/>
          <w:bottom w:val="nil"/>
          <w:right w:val="nil"/>
          <w:between w:val="nil"/>
        </w:pBdr>
        <w:ind w:left="284" w:right="360"/>
        <w:jc w:val="both"/>
        <w:rPr>
          <w:color w:val="000000"/>
          <w:sz w:val="22"/>
          <w:szCs w:val="22"/>
        </w:rPr>
      </w:pPr>
      <w:r>
        <w:rPr>
          <w:color w:val="000000"/>
          <w:sz w:val="22"/>
          <w:szCs w:val="22"/>
        </w:rPr>
        <w:t xml:space="preserve">As part of the tender, tenderers must submit a signed declaration, included in the tender form, to the effect that they are not in any of the exclusion situations listed in Section 2.6.10.1. of the practical guide. </w:t>
      </w:r>
    </w:p>
    <w:p w14:paraId="2DEF5909" w14:textId="77777777" w:rsidR="00A32F5D" w:rsidRDefault="00000000">
      <w:pPr>
        <w:pBdr>
          <w:top w:val="nil"/>
          <w:left w:val="nil"/>
          <w:bottom w:val="nil"/>
          <w:right w:val="nil"/>
          <w:between w:val="nil"/>
        </w:pBdr>
        <w:ind w:left="284" w:right="360"/>
        <w:jc w:val="both"/>
        <w:rPr>
          <w:color w:val="000000"/>
          <w:sz w:val="22"/>
          <w:szCs w:val="22"/>
        </w:rPr>
      </w:pPr>
      <w:r>
        <w:rPr>
          <w:color w:val="000000"/>
          <w:sz w:val="22"/>
          <w:szCs w:val="22"/>
        </w:rPr>
        <w:t xml:space="preserve">Tenderer included in the lists of EU restrictive measures (see Section 2.4. of the PRAG) </w:t>
      </w:r>
      <w:proofErr w:type="gramStart"/>
      <w:r>
        <w:rPr>
          <w:color w:val="000000"/>
          <w:sz w:val="22"/>
          <w:szCs w:val="22"/>
        </w:rPr>
        <w:t>at the moment</w:t>
      </w:r>
      <w:proofErr w:type="gramEnd"/>
      <w:r>
        <w:rPr>
          <w:color w:val="000000"/>
          <w:sz w:val="22"/>
          <w:szCs w:val="22"/>
        </w:rPr>
        <w:t xml:space="preserve"> of the award decision cannot be awarded the contract. </w:t>
      </w:r>
    </w:p>
    <w:p w14:paraId="52378689" w14:textId="77777777" w:rsidR="00A32F5D" w:rsidRDefault="00000000">
      <w:pPr>
        <w:ind w:left="284"/>
        <w:rPr>
          <w:sz w:val="22"/>
          <w:szCs w:val="22"/>
        </w:rPr>
      </w:pPr>
      <w:r>
        <w:rPr>
          <w:b/>
          <w:sz w:val="22"/>
          <w:szCs w:val="22"/>
        </w:rPr>
        <w:t xml:space="preserve">13. </w:t>
      </w:r>
      <w:r>
        <w:rPr>
          <w:b/>
          <w:sz w:val="22"/>
          <w:szCs w:val="22"/>
        </w:rPr>
        <w:tab/>
        <w:t>Sub-contracting</w:t>
      </w:r>
    </w:p>
    <w:p w14:paraId="37310E8F" w14:textId="77777777" w:rsidR="00A32F5D" w:rsidRDefault="00000000">
      <w:pPr>
        <w:ind w:left="284"/>
        <w:rPr>
          <w:sz w:val="22"/>
          <w:szCs w:val="22"/>
        </w:rPr>
      </w:pPr>
      <w:r>
        <w:rPr>
          <w:sz w:val="22"/>
          <w:szCs w:val="22"/>
        </w:rPr>
        <w:t>Subcontracting is allowed.</w:t>
      </w:r>
    </w:p>
    <w:p w14:paraId="70086727" w14:textId="77777777" w:rsidR="00A32F5D" w:rsidRDefault="00000000">
      <w:pPr>
        <w:keepNext/>
        <w:ind w:left="284"/>
        <w:jc w:val="center"/>
        <w:rPr>
          <w:sz w:val="28"/>
          <w:szCs w:val="28"/>
        </w:rPr>
      </w:pPr>
      <w:r>
        <w:rPr>
          <w:b/>
          <w:sz w:val="28"/>
          <w:szCs w:val="28"/>
        </w:rPr>
        <w:t>PROVISIONAL TIMETABLE</w:t>
      </w:r>
      <w:r>
        <w:rPr>
          <w:noProof/>
        </w:rPr>
        <mc:AlternateContent>
          <mc:Choice Requires="wps">
            <w:drawing>
              <wp:anchor distT="0" distB="0" distL="114300" distR="114300" simplePos="0" relativeHeight="251659264" behindDoc="0" locked="0" layoutInCell="1" hidden="0" allowOverlap="1" wp14:anchorId="1EB8E0E0" wp14:editId="3597BDF4">
                <wp:simplePos x="0" y="0"/>
                <wp:positionH relativeFrom="column">
                  <wp:posOffset>114300</wp:posOffset>
                </wp:positionH>
                <wp:positionV relativeFrom="paragraph">
                  <wp:posOffset>0</wp:posOffset>
                </wp:positionV>
                <wp:extent cx="0" cy="12700"/>
                <wp:effectExtent l="0" t="0" r="0" b="0"/>
                <wp:wrapNone/>
                <wp:docPr id="13" name="Straight Arrow Connector 13"/>
                <wp:cNvGraphicFramePr/>
                <a:graphic xmlns:a="http://schemas.openxmlformats.org/drawingml/2006/main">
                  <a:graphicData uri="http://schemas.microsoft.com/office/word/2010/wordprocessingShape">
                    <wps:wsp>
                      <wps:cNvCnPr/>
                      <wps:spPr>
                        <a:xfrm>
                          <a:off x="2374200" y="3779682"/>
                          <a:ext cx="5943600" cy="636"/>
                        </a:xfrm>
                        <a:prstGeom prst="straightConnector1">
                          <a:avLst/>
                        </a:prstGeom>
                        <a:solidFill>
                          <a:srgbClr val="FFFFFF"/>
                        </a:solidFill>
                        <a:ln w="22225" cap="flat" cmpd="sng">
                          <a:solidFill>
                            <a:srgbClr val="D4D4D4"/>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14:paraId="0D6A2FE4" w14:textId="77777777" w:rsidR="00A32F5D" w:rsidRDefault="00000000">
      <w:pPr>
        <w:ind w:left="284"/>
        <w:rPr>
          <w:sz w:val="22"/>
          <w:szCs w:val="22"/>
        </w:rPr>
      </w:pPr>
      <w:r>
        <w:rPr>
          <w:b/>
          <w:sz w:val="22"/>
          <w:szCs w:val="22"/>
        </w:rPr>
        <w:t xml:space="preserve">14. </w:t>
      </w:r>
      <w:r>
        <w:rPr>
          <w:b/>
          <w:sz w:val="22"/>
          <w:szCs w:val="22"/>
        </w:rPr>
        <w:tab/>
        <w:t>Provisional commencement date of the contract</w:t>
      </w:r>
    </w:p>
    <w:p w14:paraId="3DBC06E2" w14:textId="7875203A" w:rsidR="00A32F5D" w:rsidRDefault="00000000">
      <w:pPr>
        <w:pBdr>
          <w:top w:val="nil"/>
          <w:left w:val="nil"/>
          <w:bottom w:val="nil"/>
          <w:right w:val="nil"/>
          <w:between w:val="nil"/>
        </w:pBdr>
        <w:ind w:left="284" w:right="360"/>
        <w:jc w:val="both"/>
      </w:pPr>
      <w:r>
        <w:rPr>
          <w:sz w:val="22"/>
          <w:szCs w:val="22"/>
        </w:rPr>
        <w:t>1</w:t>
      </w:r>
      <w:r w:rsidR="00385717">
        <w:rPr>
          <w:sz w:val="22"/>
          <w:szCs w:val="22"/>
        </w:rPr>
        <w:t>8</w:t>
      </w:r>
      <w:r>
        <w:rPr>
          <w:color w:val="000000"/>
          <w:sz w:val="22"/>
          <w:szCs w:val="22"/>
        </w:rPr>
        <w:t>/0</w:t>
      </w:r>
      <w:r>
        <w:rPr>
          <w:sz w:val="22"/>
          <w:szCs w:val="22"/>
        </w:rPr>
        <w:t>9</w:t>
      </w:r>
      <w:r>
        <w:rPr>
          <w:color w:val="000000"/>
          <w:sz w:val="22"/>
          <w:szCs w:val="22"/>
        </w:rPr>
        <w:t xml:space="preserve">/2025 </w:t>
      </w:r>
      <w:r>
        <w:t xml:space="preserve">         </w:t>
      </w:r>
    </w:p>
    <w:p w14:paraId="7160E9C2" w14:textId="77777777" w:rsidR="00A32F5D" w:rsidRDefault="00000000">
      <w:pPr>
        <w:pBdr>
          <w:top w:val="nil"/>
          <w:left w:val="nil"/>
          <w:bottom w:val="nil"/>
          <w:right w:val="nil"/>
          <w:between w:val="nil"/>
        </w:pBdr>
        <w:ind w:left="284" w:right="360"/>
        <w:jc w:val="both"/>
        <w:rPr>
          <w:sz w:val="22"/>
          <w:szCs w:val="22"/>
        </w:rPr>
      </w:pPr>
      <w:r>
        <w:rPr>
          <w:b/>
          <w:sz w:val="22"/>
          <w:szCs w:val="22"/>
        </w:rPr>
        <w:t xml:space="preserve">15. </w:t>
      </w:r>
      <w:r>
        <w:rPr>
          <w:b/>
          <w:sz w:val="22"/>
          <w:szCs w:val="22"/>
        </w:rPr>
        <w:tab/>
        <w:t xml:space="preserve">Implementation period of the tasks </w:t>
      </w:r>
    </w:p>
    <w:p w14:paraId="2DF4B9A1" w14:textId="77777777" w:rsidR="00A32F5D" w:rsidRDefault="00000000">
      <w:pPr>
        <w:pBdr>
          <w:top w:val="nil"/>
          <w:left w:val="nil"/>
          <w:bottom w:val="nil"/>
          <w:right w:val="nil"/>
          <w:between w:val="nil"/>
        </w:pBdr>
        <w:ind w:left="284" w:right="360"/>
        <w:jc w:val="both"/>
        <w:rPr>
          <w:i/>
          <w:color w:val="000000"/>
          <w:sz w:val="22"/>
          <w:szCs w:val="22"/>
        </w:rPr>
      </w:pPr>
      <w:r>
        <w:rPr>
          <w:color w:val="000000"/>
          <w:sz w:val="22"/>
          <w:szCs w:val="22"/>
        </w:rPr>
        <w:t xml:space="preserve"> 4</w:t>
      </w:r>
      <w:r>
        <w:rPr>
          <w:sz w:val="22"/>
          <w:szCs w:val="22"/>
        </w:rPr>
        <w:t xml:space="preserve"> months </w:t>
      </w:r>
      <w:r>
        <w:t xml:space="preserve">        </w:t>
      </w:r>
    </w:p>
    <w:p w14:paraId="20821C99" w14:textId="77777777" w:rsidR="00A32F5D" w:rsidRDefault="00000000">
      <w:pPr>
        <w:ind w:left="284"/>
        <w:jc w:val="center"/>
        <w:rPr>
          <w:sz w:val="28"/>
          <w:szCs w:val="28"/>
        </w:rPr>
      </w:pPr>
      <w:r>
        <w:rPr>
          <w:b/>
          <w:sz w:val="28"/>
          <w:szCs w:val="28"/>
        </w:rPr>
        <w:t>SELECTION AND AWARD CRITERIA</w:t>
      </w:r>
      <w:r>
        <w:rPr>
          <w:noProof/>
        </w:rPr>
        <mc:AlternateContent>
          <mc:Choice Requires="wps">
            <w:drawing>
              <wp:anchor distT="0" distB="0" distL="114300" distR="114300" simplePos="0" relativeHeight="251660288" behindDoc="0" locked="0" layoutInCell="1" hidden="0" allowOverlap="1" wp14:anchorId="195F058C" wp14:editId="6D647F68">
                <wp:simplePos x="0" y="0"/>
                <wp:positionH relativeFrom="column">
                  <wp:posOffset>114300</wp:posOffset>
                </wp:positionH>
                <wp:positionV relativeFrom="paragraph">
                  <wp:posOffset>0</wp:posOffset>
                </wp:positionV>
                <wp:extent cx="0" cy="12700"/>
                <wp:effectExtent l="0" t="0" r="0" b="0"/>
                <wp:wrapNone/>
                <wp:docPr id="12" name="Straight Arrow Connector 12"/>
                <wp:cNvGraphicFramePr/>
                <a:graphic xmlns:a="http://schemas.openxmlformats.org/drawingml/2006/main">
                  <a:graphicData uri="http://schemas.microsoft.com/office/word/2010/wordprocessingShape">
                    <wps:wsp>
                      <wps:cNvCnPr/>
                      <wps:spPr>
                        <a:xfrm>
                          <a:off x="2374200" y="3779683"/>
                          <a:ext cx="5943600" cy="635"/>
                        </a:xfrm>
                        <a:prstGeom prst="straightConnector1">
                          <a:avLst/>
                        </a:prstGeom>
                        <a:solidFill>
                          <a:srgbClr val="FFFFFF"/>
                        </a:solidFill>
                        <a:ln w="22225" cap="flat" cmpd="sng">
                          <a:solidFill>
                            <a:srgbClr val="D4D4D4"/>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14:paraId="3A8FDB85" w14:textId="77777777" w:rsidR="00A32F5D" w:rsidRDefault="00000000">
      <w:pPr>
        <w:ind w:left="284"/>
        <w:rPr>
          <w:b/>
          <w:sz w:val="22"/>
          <w:szCs w:val="22"/>
        </w:rPr>
      </w:pPr>
      <w:r>
        <w:rPr>
          <w:b/>
          <w:sz w:val="22"/>
          <w:szCs w:val="22"/>
        </w:rPr>
        <w:t xml:space="preserve">16. </w:t>
      </w:r>
      <w:r>
        <w:rPr>
          <w:b/>
          <w:sz w:val="22"/>
          <w:szCs w:val="22"/>
        </w:rPr>
        <w:tab/>
        <w:t>Selection criteria</w:t>
      </w:r>
    </w:p>
    <w:p w14:paraId="3BE55129" w14:textId="77777777" w:rsidR="00A32F5D" w:rsidRDefault="00000000">
      <w:pPr>
        <w:widowControl/>
        <w:spacing w:before="240" w:after="0"/>
        <w:ind w:left="284"/>
        <w:jc w:val="both"/>
        <w:rPr>
          <w:sz w:val="22"/>
          <w:szCs w:val="22"/>
        </w:rPr>
      </w:pPr>
      <w:r>
        <w:rPr>
          <w:sz w:val="22"/>
          <w:szCs w:val="22"/>
        </w:rPr>
        <w:t>Capacity-providing entities</w:t>
      </w:r>
    </w:p>
    <w:p w14:paraId="6767758C" w14:textId="77777777" w:rsidR="00A32F5D" w:rsidRDefault="00000000">
      <w:pPr>
        <w:widowControl/>
        <w:spacing w:before="240" w:after="0"/>
        <w:ind w:left="284"/>
        <w:jc w:val="both"/>
        <w:rPr>
          <w:sz w:val="22"/>
          <w:szCs w:val="22"/>
        </w:rPr>
      </w:pPr>
      <w:r>
        <w:rPr>
          <w:sz w:val="22"/>
          <w:szCs w:val="22"/>
        </w:rPr>
        <w:t xml:space="preserve">An economic operator (i.e. candidate or tenderer) may, where appropriate and for a particular contract, rely on the capacities of other entities, regardless of the legal nature of the links it has with them. If the economic operator relies on other entities, it must in that case prove to the contracting authority that it will have at its disposal the resources necessary for the performance of the contract by producing a commitment by those entities to place those resources at its disposal. Such entities, for instance the parent company of the economic operator, must respect the same rules </w:t>
      </w:r>
      <w:r>
        <w:rPr>
          <w:sz w:val="22"/>
          <w:szCs w:val="22"/>
        </w:rPr>
        <w:lastRenderedPageBreak/>
        <w:t xml:space="preserve">of eligibility and notably that of nationality as the economic operator relying on them and must comply with the selection criteria for which the economic operator relies on them. </w:t>
      </w:r>
      <w:r>
        <w:rPr>
          <w:b/>
          <w:sz w:val="22"/>
          <w:szCs w:val="22"/>
        </w:rPr>
        <w:t>Furthermore, the data for this third entity for the relevant selection criterion should be included in a separate document</w:t>
      </w:r>
      <w:r>
        <w:rPr>
          <w:sz w:val="22"/>
          <w:szCs w:val="22"/>
        </w:rPr>
        <w:t>. Proof of the capacity will also have to be provided when requested by the contracting authority.</w:t>
      </w:r>
    </w:p>
    <w:p w14:paraId="07156C08" w14:textId="77777777" w:rsidR="00A32F5D" w:rsidRDefault="00000000">
      <w:pPr>
        <w:widowControl/>
        <w:spacing w:before="240" w:after="0"/>
        <w:ind w:left="284"/>
        <w:jc w:val="both"/>
        <w:rPr>
          <w:sz w:val="22"/>
          <w:szCs w:val="22"/>
        </w:rPr>
      </w:pPr>
      <w:proofErr w:type="gramStart"/>
      <w:r>
        <w:rPr>
          <w:sz w:val="22"/>
          <w:szCs w:val="22"/>
        </w:rPr>
        <w:t>With regard to</w:t>
      </w:r>
      <w:proofErr w:type="gramEnd"/>
      <w:r>
        <w:rPr>
          <w:sz w:val="22"/>
          <w:szCs w:val="22"/>
        </w:rPr>
        <w:t xml:space="preserve"> technical and professional criteria, an economic operator may only rely on the capacities of other entities where the latter will perform the tasks for which these capacities are required. </w:t>
      </w:r>
    </w:p>
    <w:p w14:paraId="5BDE1F29" w14:textId="77777777" w:rsidR="00A32F5D" w:rsidRDefault="00000000">
      <w:pPr>
        <w:widowControl/>
        <w:spacing w:before="240" w:after="0"/>
        <w:ind w:left="284"/>
        <w:jc w:val="both"/>
        <w:rPr>
          <w:sz w:val="22"/>
          <w:szCs w:val="22"/>
          <w:highlight w:val="yellow"/>
        </w:rPr>
      </w:pPr>
      <w:proofErr w:type="gramStart"/>
      <w:r>
        <w:rPr>
          <w:sz w:val="22"/>
          <w:szCs w:val="22"/>
        </w:rPr>
        <w:t>With regard to</w:t>
      </w:r>
      <w:proofErr w:type="gramEnd"/>
      <w:r>
        <w:rPr>
          <w:sz w:val="22"/>
          <w:szCs w:val="22"/>
        </w:rPr>
        <w:t xml:space="preserve"> economic and financial criteria, the entities upon whose capacity the economic operator relies, become jointly and severally liable for the performance of the contract.</w:t>
      </w:r>
      <w:r>
        <w:t xml:space="preserve">                              </w:t>
      </w:r>
    </w:p>
    <w:p w14:paraId="735E40D5" w14:textId="77777777" w:rsidR="00A32F5D" w:rsidRDefault="00A32F5D">
      <w:pPr>
        <w:pBdr>
          <w:top w:val="nil"/>
          <w:left w:val="nil"/>
          <w:bottom w:val="nil"/>
          <w:right w:val="nil"/>
          <w:between w:val="nil"/>
        </w:pBdr>
        <w:ind w:left="284" w:right="360"/>
        <w:jc w:val="both"/>
        <w:rPr>
          <w:color w:val="000000"/>
          <w:sz w:val="22"/>
          <w:szCs w:val="22"/>
        </w:rPr>
      </w:pPr>
    </w:p>
    <w:p w14:paraId="01EA1C86" w14:textId="77777777" w:rsidR="00A32F5D" w:rsidRDefault="00000000">
      <w:pPr>
        <w:pBdr>
          <w:top w:val="nil"/>
          <w:left w:val="nil"/>
          <w:bottom w:val="nil"/>
          <w:right w:val="nil"/>
          <w:between w:val="nil"/>
        </w:pBdr>
        <w:ind w:left="284" w:right="357"/>
        <w:jc w:val="both"/>
        <w:rPr>
          <w:color w:val="000000"/>
          <w:sz w:val="22"/>
          <w:szCs w:val="22"/>
        </w:rPr>
      </w:pPr>
      <w:r>
        <w:rPr>
          <w:b/>
          <w:color w:val="000000"/>
          <w:sz w:val="22"/>
          <w:szCs w:val="22"/>
          <w:u w:val="single"/>
        </w:rPr>
        <w:t>1)</w:t>
      </w:r>
      <w:r>
        <w:rPr>
          <w:b/>
          <w:color w:val="000000"/>
          <w:sz w:val="22"/>
          <w:szCs w:val="22"/>
          <w:u w:val="single"/>
        </w:rPr>
        <w:tab/>
        <w:t>Economic and financial capacity of the tenderer</w:t>
      </w:r>
      <w:r>
        <w:rPr>
          <w:b/>
          <w:color w:val="000000"/>
          <w:sz w:val="22"/>
          <w:szCs w:val="22"/>
        </w:rPr>
        <w:t xml:space="preserve"> (</w:t>
      </w:r>
      <w:r>
        <w:rPr>
          <w:color w:val="000000"/>
          <w:sz w:val="22"/>
          <w:szCs w:val="22"/>
        </w:rPr>
        <w:t xml:space="preserve">based on item 3 of the tender form). In case of tenderer being a public body, equivalent information should be provided. The reference period which will be </w:t>
      </w:r>
      <w:proofErr w:type="gramStart"/>
      <w:r>
        <w:rPr>
          <w:color w:val="000000"/>
          <w:sz w:val="22"/>
          <w:szCs w:val="22"/>
        </w:rPr>
        <w:t>taken into account</w:t>
      </w:r>
      <w:proofErr w:type="gramEnd"/>
      <w:r>
        <w:rPr>
          <w:color w:val="000000"/>
          <w:sz w:val="22"/>
          <w:szCs w:val="22"/>
        </w:rPr>
        <w:t xml:space="preserve"> will be the last three financial years for which accounts have been closed. The objective of this criterion is to examine </w:t>
      </w:r>
      <w:proofErr w:type="gramStart"/>
      <w:r>
        <w:rPr>
          <w:color w:val="000000"/>
          <w:sz w:val="22"/>
          <w:szCs w:val="22"/>
        </w:rPr>
        <w:t>whether or not</w:t>
      </w:r>
      <w:proofErr w:type="gramEnd"/>
      <w:r>
        <w:rPr>
          <w:color w:val="000000"/>
          <w:sz w:val="22"/>
          <w:szCs w:val="22"/>
        </w:rPr>
        <w:t xml:space="preserve"> the tenderer (i.e. the </w:t>
      </w:r>
      <w:proofErr w:type="gramStart"/>
      <w:r>
        <w:rPr>
          <w:color w:val="000000"/>
          <w:sz w:val="22"/>
          <w:szCs w:val="22"/>
        </w:rPr>
        <w:t>consortium as a whole, in</w:t>
      </w:r>
      <w:proofErr w:type="gramEnd"/>
      <w:r>
        <w:rPr>
          <w:color w:val="000000"/>
          <w:sz w:val="22"/>
          <w:szCs w:val="22"/>
        </w:rPr>
        <w:t xml:space="preserve"> the case of a tender from a consortium):</w:t>
      </w:r>
    </w:p>
    <w:p w14:paraId="0D54FEF3" w14:textId="77777777" w:rsidR="00A32F5D" w:rsidRDefault="00000000">
      <w:pPr>
        <w:numPr>
          <w:ilvl w:val="0"/>
          <w:numId w:val="1"/>
        </w:numPr>
        <w:ind w:left="284" w:firstLine="0"/>
      </w:pPr>
      <w:r>
        <w:rPr>
          <w:sz w:val="22"/>
          <w:szCs w:val="22"/>
        </w:rPr>
        <w:t xml:space="preserve">will not be economically dependent on the contracting authority </w:t>
      </w:r>
      <w:proofErr w:type="gramStart"/>
      <w:r>
        <w:rPr>
          <w:sz w:val="22"/>
          <w:szCs w:val="22"/>
        </w:rPr>
        <w:t>in the event that</w:t>
      </w:r>
      <w:proofErr w:type="gramEnd"/>
      <w:r>
        <w:rPr>
          <w:sz w:val="22"/>
          <w:szCs w:val="22"/>
        </w:rPr>
        <w:t xml:space="preserve"> the contract is awarded to </w:t>
      </w:r>
      <w:proofErr w:type="gramStart"/>
      <w:r>
        <w:rPr>
          <w:sz w:val="22"/>
          <w:szCs w:val="22"/>
        </w:rPr>
        <w:t>it;</w:t>
      </w:r>
      <w:proofErr w:type="gramEnd"/>
      <w:r>
        <w:t xml:space="preserve">                                                                                                  </w:t>
      </w:r>
    </w:p>
    <w:p w14:paraId="10C56196" w14:textId="77777777" w:rsidR="00A32F5D" w:rsidRDefault="00000000">
      <w:pPr>
        <w:pBdr>
          <w:top w:val="nil"/>
          <w:left w:val="nil"/>
          <w:bottom w:val="nil"/>
          <w:right w:val="nil"/>
          <w:between w:val="nil"/>
        </w:pBdr>
        <w:ind w:left="284" w:right="357"/>
        <w:jc w:val="both"/>
        <w:rPr>
          <w:color w:val="000000"/>
          <w:sz w:val="22"/>
          <w:szCs w:val="22"/>
        </w:rPr>
      </w:pPr>
      <w:r>
        <w:rPr>
          <w:b/>
          <w:color w:val="000000"/>
          <w:sz w:val="22"/>
          <w:szCs w:val="22"/>
          <w:u w:val="single"/>
        </w:rPr>
        <w:t>2)</w:t>
      </w:r>
      <w:r>
        <w:rPr>
          <w:color w:val="000000"/>
          <w:sz w:val="22"/>
          <w:szCs w:val="22"/>
          <w:u w:val="single"/>
        </w:rPr>
        <w:tab/>
      </w:r>
      <w:r>
        <w:rPr>
          <w:b/>
          <w:color w:val="000000"/>
          <w:sz w:val="22"/>
          <w:szCs w:val="22"/>
          <w:u w:val="single"/>
        </w:rPr>
        <w:t>Professional capacity of the tenderer (</w:t>
      </w:r>
      <w:r>
        <w:rPr>
          <w:color w:val="000000"/>
          <w:sz w:val="22"/>
          <w:szCs w:val="22"/>
        </w:rPr>
        <w:t>based on items 4 of the tender form).</w:t>
      </w:r>
    </w:p>
    <w:p w14:paraId="7F3D6F87" w14:textId="77777777" w:rsidR="00A32F5D" w:rsidRDefault="00000000">
      <w:pPr>
        <w:pBdr>
          <w:top w:val="nil"/>
          <w:left w:val="nil"/>
          <w:bottom w:val="nil"/>
          <w:right w:val="nil"/>
          <w:between w:val="nil"/>
        </w:pBdr>
        <w:ind w:left="284" w:right="357"/>
        <w:jc w:val="both"/>
        <w:rPr>
          <w:color w:val="000000"/>
          <w:sz w:val="22"/>
          <w:szCs w:val="22"/>
        </w:rPr>
      </w:pPr>
      <w:r>
        <w:rPr>
          <w:color w:val="000000"/>
          <w:sz w:val="22"/>
          <w:szCs w:val="22"/>
        </w:rPr>
        <w:t xml:space="preserve">The reference period which will be </w:t>
      </w:r>
      <w:proofErr w:type="gramStart"/>
      <w:r>
        <w:rPr>
          <w:color w:val="000000"/>
          <w:sz w:val="22"/>
          <w:szCs w:val="22"/>
        </w:rPr>
        <w:t>taken into account</w:t>
      </w:r>
      <w:proofErr w:type="gramEnd"/>
      <w:r>
        <w:rPr>
          <w:color w:val="000000"/>
          <w:sz w:val="22"/>
          <w:szCs w:val="22"/>
        </w:rPr>
        <w:t xml:space="preserve"> will be the last three years preceding the submission deadline.</w:t>
      </w:r>
    </w:p>
    <w:p w14:paraId="72EC79E6" w14:textId="77777777" w:rsidR="00A32F5D" w:rsidRDefault="00000000">
      <w:pPr>
        <w:pBdr>
          <w:top w:val="nil"/>
          <w:left w:val="nil"/>
          <w:bottom w:val="nil"/>
          <w:right w:val="nil"/>
          <w:between w:val="nil"/>
        </w:pBdr>
        <w:ind w:left="284" w:right="357"/>
        <w:jc w:val="both"/>
      </w:pPr>
      <w:r>
        <w:t xml:space="preserve">The objective of this criterion is to examine </w:t>
      </w:r>
      <w:proofErr w:type="gramStart"/>
      <w:r>
        <w:t>whether or not</w:t>
      </w:r>
      <w:proofErr w:type="gramEnd"/>
      <w:r>
        <w:t xml:space="preserve"> the tenderer (i.e. the </w:t>
      </w:r>
      <w:proofErr w:type="gramStart"/>
      <w:r>
        <w:t>consortium as a whole, in</w:t>
      </w:r>
      <w:proofErr w:type="gramEnd"/>
      <w:r>
        <w:t xml:space="preserve"> the case of a tenderer from a consortium):</w:t>
      </w:r>
    </w:p>
    <w:p w14:paraId="750D6BB5" w14:textId="77777777" w:rsidR="00A32F5D" w:rsidRDefault="00000000">
      <w:pPr>
        <w:pBdr>
          <w:top w:val="nil"/>
          <w:left w:val="nil"/>
          <w:bottom w:val="nil"/>
          <w:right w:val="nil"/>
          <w:between w:val="nil"/>
        </w:pBdr>
        <w:ind w:left="284" w:right="357"/>
        <w:jc w:val="both"/>
      </w:pPr>
      <w:r>
        <w:t>●</w:t>
      </w:r>
      <w:r>
        <w:tab/>
        <w:t>has sufficient ongoing staff resources and expertise to be able to handle the proposed contract</w:t>
      </w:r>
    </w:p>
    <w:p w14:paraId="1EE9E209" w14:textId="77777777" w:rsidR="00A32F5D" w:rsidRDefault="00000000">
      <w:pPr>
        <w:pBdr>
          <w:top w:val="nil"/>
          <w:left w:val="nil"/>
          <w:bottom w:val="nil"/>
          <w:right w:val="nil"/>
          <w:between w:val="nil"/>
        </w:pBdr>
        <w:ind w:left="284" w:right="357"/>
        <w:jc w:val="both"/>
      </w:pPr>
      <w:r>
        <w:t>●</w:t>
      </w:r>
      <w:r>
        <w:tab/>
        <w:t xml:space="preserve">has at least 2 years of experience in the relevant field </w:t>
      </w:r>
    </w:p>
    <w:p w14:paraId="0D9140AD" w14:textId="77777777" w:rsidR="00A32F5D" w:rsidRDefault="00000000">
      <w:pPr>
        <w:pBdr>
          <w:top w:val="nil"/>
          <w:left w:val="nil"/>
          <w:bottom w:val="nil"/>
          <w:right w:val="nil"/>
          <w:between w:val="nil"/>
        </w:pBdr>
        <w:ind w:left="284" w:right="357"/>
        <w:jc w:val="both"/>
      </w:pPr>
      <w:r>
        <w:t>●</w:t>
      </w:r>
      <w:r>
        <w:tab/>
        <w:t>University degree with relevant experience.</w:t>
      </w:r>
    </w:p>
    <w:p w14:paraId="186AD251" w14:textId="77777777" w:rsidR="00A32F5D" w:rsidRDefault="00000000">
      <w:pPr>
        <w:pBdr>
          <w:top w:val="nil"/>
          <w:left w:val="nil"/>
          <w:bottom w:val="nil"/>
          <w:right w:val="nil"/>
          <w:between w:val="nil"/>
        </w:pBdr>
        <w:ind w:left="284" w:right="357"/>
        <w:jc w:val="both"/>
      </w:pPr>
      <w:r>
        <w:t>●</w:t>
      </w:r>
      <w:r>
        <w:tab/>
        <w:t>Previous experience of working with the Roma community will be considered a strong advantage.</w:t>
      </w:r>
    </w:p>
    <w:p w14:paraId="55131A02" w14:textId="77777777" w:rsidR="00A32F5D" w:rsidRDefault="00000000">
      <w:pPr>
        <w:pBdr>
          <w:top w:val="nil"/>
          <w:left w:val="nil"/>
          <w:bottom w:val="nil"/>
          <w:right w:val="nil"/>
          <w:between w:val="nil"/>
        </w:pBdr>
        <w:ind w:left="284" w:right="357"/>
        <w:jc w:val="both"/>
      </w:pPr>
      <w:r>
        <w:t>●</w:t>
      </w:r>
      <w:r>
        <w:tab/>
        <w:t>Excellent communication, interpersonal, and relationship-building skills.</w:t>
      </w:r>
    </w:p>
    <w:p w14:paraId="58D99B7D" w14:textId="77777777" w:rsidR="00A32F5D" w:rsidRDefault="00000000">
      <w:pPr>
        <w:pBdr>
          <w:top w:val="nil"/>
          <w:left w:val="nil"/>
          <w:bottom w:val="nil"/>
          <w:right w:val="nil"/>
          <w:between w:val="nil"/>
        </w:pBdr>
        <w:ind w:left="284" w:right="357"/>
        <w:jc w:val="both"/>
      </w:pPr>
      <w:r>
        <w:t>●</w:t>
      </w:r>
      <w:r>
        <w:tab/>
        <w:t>Proven experience in organizing community events and workshops</w:t>
      </w:r>
    </w:p>
    <w:p w14:paraId="2F2EDF4E" w14:textId="77777777" w:rsidR="00A32F5D" w:rsidRDefault="00000000">
      <w:pPr>
        <w:pBdr>
          <w:top w:val="nil"/>
          <w:left w:val="nil"/>
          <w:bottom w:val="nil"/>
          <w:right w:val="nil"/>
          <w:between w:val="nil"/>
        </w:pBdr>
        <w:ind w:left="284" w:right="357"/>
        <w:jc w:val="both"/>
      </w:pPr>
      <w:r>
        <w:t>●</w:t>
      </w:r>
      <w:r>
        <w:tab/>
        <w:t>Proficiency in Microsoft Office Suite (Word, Excel, PowerPoint) and other relevant software</w:t>
      </w:r>
    </w:p>
    <w:p w14:paraId="34398575" w14:textId="77777777" w:rsidR="00A32F5D" w:rsidRDefault="00000000">
      <w:pPr>
        <w:pBdr>
          <w:top w:val="nil"/>
          <w:left w:val="nil"/>
          <w:bottom w:val="nil"/>
          <w:right w:val="nil"/>
          <w:between w:val="nil"/>
        </w:pBdr>
        <w:ind w:left="284" w:right="357"/>
        <w:jc w:val="both"/>
      </w:pPr>
      <w:r>
        <w:t>●</w:t>
      </w:r>
      <w:r>
        <w:tab/>
        <w:t xml:space="preserve"> Fluency in Turkish and English is required.</w:t>
      </w:r>
    </w:p>
    <w:p w14:paraId="1DC1B658" w14:textId="77777777" w:rsidR="00A32F5D" w:rsidRDefault="00000000">
      <w:pPr>
        <w:pBdr>
          <w:top w:val="nil"/>
          <w:left w:val="nil"/>
          <w:bottom w:val="nil"/>
          <w:right w:val="nil"/>
          <w:between w:val="nil"/>
        </w:pBdr>
        <w:ind w:left="284" w:right="357"/>
        <w:jc w:val="both"/>
      </w:pPr>
      <w:r>
        <w:t>●</w:t>
      </w:r>
      <w:r>
        <w:tab/>
        <w:t xml:space="preserve">High level of empathy, cultural sensitivity, and commitment to community development.                                                                                                            </w:t>
      </w:r>
    </w:p>
    <w:p w14:paraId="2B7D0378" w14:textId="77777777" w:rsidR="00A32F5D" w:rsidRDefault="00000000">
      <w:pPr>
        <w:pBdr>
          <w:top w:val="nil"/>
          <w:left w:val="nil"/>
          <w:bottom w:val="nil"/>
          <w:right w:val="nil"/>
          <w:between w:val="nil"/>
        </w:pBdr>
        <w:ind w:left="284" w:right="357"/>
        <w:jc w:val="both"/>
      </w:pPr>
      <w:r>
        <w:t xml:space="preserve"> </w:t>
      </w:r>
    </w:p>
    <w:p w14:paraId="75FAE097" w14:textId="77777777" w:rsidR="00A32F5D" w:rsidRDefault="00000000">
      <w:pPr>
        <w:pBdr>
          <w:top w:val="nil"/>
          <w:left w:val="nil"/>
          <w:bottom w:val="nil"/>
          <w:right w:val="nil"/>
          <w:between w:val="nil"/>
        </w:pBdr>
        <w:ind w:left="284" w:right="357"/>
        <w:jc w:val="both"/>
        <w:rPr>
          <w:color w:val="000000"/>
          <w:sz w:val="22"/>
          <w:szCs w:val="22"/>
        </w:rPr>
      </w:pPr>
      <w:r>
        <w:rPr>
          <w:b/>
          <w:color w:val="000000"/>
          <w:sz w:val="22"/>
          <w:szCs w:val="22"/>
          <w:u w:val="single"/>
        </w:rPr>
        <w:t>3)</w:t>
      </w:r>
      <w:r>
        <w:rPr>
          <w:b/>
          <w:color w:val="000000"/>
          <w:sz w:val="22"/>
          <w:szCs w:val="22"/>
          <w:u w:val="single"/>
        </w:rPr>
        <w:tab/>
        <w:t xml:space="preserve">Technical capacity of tenderer </w:t>
      </w:r>
      <w:r>
        <w:rPr>
          <w:color w:val="000000"/>
          <w:sz w:val="22"/>
          <w:szCs w:val="22"/>
        </w:rPr>
        <w:t xml:space="preserve">(based on items 5 and 6 of the tender form). The reference period which will be </w:t>
      </w:r>
      <w:proofErr w:type="gramStart"/>
      <w:r>
        <w:rPr>
          <w:color w:val="000000"/>
          <w:sz w:val="22"/>
          <w:szCs w:val="22"/>
        </w:rPr>
        <w:t>taken into account</w:t>
      </w:r>
      <w:proofErr w:type="gramEnd"/>
      <w:r>
        <w:rPr>
          <w:sz w:val="22"/>
          <w:szCs w:val="22"/>
        </w:rPr>
        <w:t>,</w:t>
      </w:r>
      <w:r>
        <w:rPr>
          <w:color w:val="000000"/>
          <w:sz w:val="22"/>
          <w:szCs w:val="22"/>
        </w:rPr>
        <w:t xml:space="preserve"> will be the last two</w:t>
      </w:r>
      <w:r>
        <w:t xml:space="preserve"> </w:t>
      </w:r>
      <w:r>
        <w:rPr>
          <w:color w:val="000000"/>
          <w:sz w:val="22"/>
          <w:szCs w:val="22"/>
        </w:rPr>
        <w:t>years</w:t>
      </w:r>
      <w:r>
        <w:t xml:space="preserve"> </w:t>
      </w:r>
      <w:r>
        <w:rPr>
          <w:color w:val="000000"/>
          <w:sz w:val="22"/>
          <w:szCs w:val="22"/>
        </w:rPr>
        <w:t>preceding the submission deadline.</w:t>
      </w:r>
      <w:r>
        <w:t xml:space="preserve">                                                                                                         </w:t>
      </w:r>
    </w:p>
    <w:p w14:paraId="3487046E" w14:textId="77777777" w:rsidR="00A32F5D" w:rsidRDefault="00A32F5D">
      <w:pPr>
        <w:pBdr>
          <w:top w:val="nil"/>
          <w:left w:val="nil"/>
          <w:bottom w:val="nil"/>
          <w:right w:val="nil"/>
          <w:between w:val="nil"/>
        </w:pBdr>
        <w:ind w:left="284" w:right="360"/>
        <w:jc w:val="both"/>
        <w:rPr>
          <w:color w:val="000000"/>
          <w:sz w:val="22"/>
          <w:szCs w:val="22"/>
        </w:rPr>
      </w:pPr>
    </w:p>
    <w:p w14:paraId="3AC1C84D" w14:textId="77777777" w:rsidR="00A32F5D" w:rsidRDefault="00000000">
      <w:pPr>
        <w:ind w:left="284"/>
        <w:rPr>
          <w:sz w:val="22"/>
          <w:szCs w:val="22"/>
        </w:rPr>
      </w:pPr>
      <w:r>
        <w:rPr>
          <w:b/>
          <w:sz w:val="22"/>
          <w:szCs w:val="22"/>
        </w:rPr>
        <w:t xml:space="preserve">17. </w:t>
      </w:r>
      <w:r>
        <w:rPr>
          <w:b/>
          <w:sz w:val="22"/>
          <w:szCs w:val="22"/>
        </w:rPr>
        <w:tab/>
        <w:t>Award criteria</w:t>
      </w:r>
    </w:p>
    <w:p w14:paraId="372E11BB" w14:textId="77777777" w:rsidR="00A32F5D" w:rsidRDefault="00000000">
      <w:pPr>
        <w:pBdr>
          <w:top w:val="nil"/>
          <w:left w:val="nil"/>
          <w:bottom w:val="nil"/>
          <w:right w:val="nil"/>
          <w:between w:val="nil"/>
        </w:pBdr>
        <w:ind w:left="284" w:right="1"/>
        <w:jc w:val="both"/>
        <w:rPr>
          <w:color w:val="000000"/>
          <w:sz w:val="22"/>
          <w:szCs w:val="22"/>
        </w:rPr>
      </w:pPr>
      <w:r>
        <w:rPr>
          <w:color w:val="000000"/>
          <w:sz w:val="22"/>
          <w:szCs w:val="22"/>
        </w:rPr>
        <w:t xml:space="preserve">Best </w:t>
      </w:r>
      <w:r>
        <w:rPr>
          <w:color w:val="000000"/>
        </w:rPr>
        <w:t>price-quality ratio.</w:t>
      </w:r>
    </w:p>
    <w:p w14:paraId="7D6B1204" w14:textId="77777777" w:rsidR="00A32F5D" w:rsidRDefault="00000000">
      <w:pPr>
        <w:ind w:left="284"/>
        <w:rPr>
          <w:sz w:val="22"/>
          <w:szCs w:val="22"/>
        </w:rPr>
      </w:pPr>
      <w:r>
        <w:rPr>
          <w:noProof/>
        </w:rPr>
        <mc:AlternateContent>
          <mc:Choice Requires="wps">
            <w:drawing>
              <wp:anchor distT="0" distB="0" distL="114300" distR="114300" simplePos="0" relativeHeight="251661312" behindDoc="0" locked="0" layoutInCell="1" hidden="0" allowOverlap="1" wp14:anchorId="4378B7C9" wp14:editId="092F6F5E">
                <wp:simplePos x="0" y="0"/>
                <wp:positionH relativeFrom="column">
                  <wp:posOffset>114300</wp:posOffset>
                </wp:positionH>
                <wp:positionV relativeFrom="paragraph">
                  <wp:posOffset>0</wp:posOffset>
                </wp:positionV>
                <wp:extent cx="0" cy="12700"/>
                <wp:effectExtent l="0" t="0" r="0" b="0"/>
                <wp:wrapNone/>
                <wp:docPr id="14" name="Straight Arrow Connector 14"/>
                <wp:cNvGraphicFramePr/>
                <a:graphic xmlns:a="http://schemas.openxmlformats.org/drawingml/2006/main">
                  <a:graphicData uri="http://schemas.microsoft.com/office/word/2010/wordprocessingShape">
                    <wps:wsp>
                      <wps:cNvCnPr/>
                      <wps:spPr>
                        <a:xfrm>
                          <a:off x="2374200" y="3779683"/>
                          <a:ext cx="5943600" cy="635"/>
                        </a:xfrm>
                        <a:prstGeom prst="straightConnector1">
                          <a:avLst/>
                        </a:prstGeom>
                        <a:solidFill>
                          <a:srgbClr val="FFFFFF"/>
                        </a:solidFill>
                        <a:ln w="22225" cap="flat" cmpd="sng">
                          <a:solidFill>
                            <a:srgbClr val="D4D4D4"/>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4"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14:paraId="0F9F108D" w14:textId="77777777" w:rsidR="00A32F5D" w:rsidRDefault="00000000">
      <w:pPr>
        <w:keepNext/>
        <w:ind w:left="284"/>
        <w:jc w:val="center"/>
        <w:rPr>
          <w:sz w:val="28"/>
          <w:szCs w:val="28"/>
        </w:rPr>
      </w:pPr>
      <w:r>
        <w:rPr>
          <w:b/>
          <w:sz w:val="28"/>
          <w:szCs w:val="28"/>
        </w:rPr>
        <w:lastRenderedPageBreak/>
        <w:t>TENDERING</w:t>
      </w:r>
    </w:p>
    <w:p w14:paraId="644AB6AE" w14:textId="77777777" w:rsidR="00A32F5D" w:rsidRDefault="00000000">
      <w:pPr>
        <w:keepNext/>
        <w:ind w:left="284"/>
        <w:rPr>
          <w:sz w:val="22"/>
          <w:szCs w:val="22"/>
        </w:rPr>
      </w:pPr>
      <w:r>
        <w:rPr>
          <w:b/>
          <w:sz w:val="22"/>
          <w:szCs w:val="22"/>
        </w:rPr>
        <w:t xml:space="preserve">18. </w:t>
      </w:r>
      <w:r>
        <w:rPr>
          <w:b/>
          <w:sz w:val="22"/>
          <w:szCs w:val="22"/>
        </w:rPr>
        <w:tab/>
        <w:t>Deadline for submission of tenders</w:t>
      </w:r>
    </w:p>
    <w:p w14:paraId="214F19AA" w14:textId="77777777" w:rsidR="00A32F5D" w:rsidRDefault="00000000">
      <w:pPr>
        <w:pBdr>
          <w:top w:val="nil"/>
          <w:left w:val="nil"/>
          <w:bottom w:val="nil"/>
          <w:right w:val="nil"/>
          <w:between w:val="nil"/>
        </w:pBdr>
        <w:ind w:left="284" w:right="360"/>
        <w:jc w:val="both"/>
        <w:rPr>
          <w:i/>
          <w:color w:val="000000"/>
          <w:sz w:val="22"/>
          <w:szCs w:val="22"/>
        </w:rPr>
      </w:pPr>
      <w:r>
        <w:rPr>
          <w:sz w:val="22"/>
          <w:szCs w:val="22"/>
        </w:rPr>
        <w:t xml:space="preserve">The deadline for submission of tenders is 30 days from the date of publishing. If the deadline is a </w:t>
      </w:r>
      <w:proofErr w:type="spellStart"/>
      <w:proofErr w:type="gramStart"/>
      <w:r>
        <w:rPr>
          <w:sz w:val="22"/>
          <w:szCs w:val="22"/>
        </w:rPr>
        <w:t>non working</w:t>
      </w:r>
      <w:proofErr w:type="spellEnd"/>
      <w:proofErr w:type="gramEnd"/>
      <w:r>
        <w:rPr>
          <w:sz w:val="22"/>
          <w:szCs w:val="22"/>
        </w:rPr>
        <w:t xml:space="preserve"> day, the period will be extended until the next working day. </w:t>
      </w:r>
      <w:r>
        <w:t xml:space="preserve">     </w:t>
      </w:r>
      <w:r>
        <w:rPr>
          <w:color w:val="000000"/>
          <w:sz w:val="22"/>
          <w:szCs w:val="22"/>
          <w:highlight w:val="yellow"/>
        </w:rPr>
        <w:t xml:space="preserve">   </w:t>
      </w:r>
    </w:p>
    <w:p w14:paraId="72984A2C" w14:textId="77777777" w:rsidR="00A32F5D" w:rsidRDefault="00000000">
      <w:pPr>
        <w:ind w:left="284"/>
        <w:rPr>
          <w:sz w:val="22"/>
          <w:szCs w:val="22"/>
        </w:rPr>
      </w:pPr>
      <w:r>
        <w:rPr>
          <w:b/>
          <w:sz w:val="22"/>
          <w:szCs w:val="22"/>
        </w:rPr>
        <w:t xml:space="preserve">19. </w:t>
      </w:r>
      <w:r>
        <w:rPr>
          <w:b/>
          <w:sz w:val="22"/>
          <w:szCs w:val="22"/>
        </w:rPr>
        <w:tab/>
        <w:t>Tender format and details to be provided</w:t>
      </w:r>
    </w:p>
    <w:p w14:paraId="57627BC2" w14:textId="77777777" w:rsidR="00A32F5D" w:rsidRDefault="00000000">
      <w:pPr>
        <w:pBdr>
          <w:top w:val="nil"/>
          <w:left w:val="nil"/>
          <w:bottom w:val="nil"/>
          <w:right w:val="nil"/>
          <w:between w:val="nil"/>
        </w:pBdr>
        <w:ind w:left="284" w:right="360"/>
        <w:jc w:val="both"/>
        <w:rPr>
          <w:color w:val="000000"/>
          <w:sz w:val="22"/>
          <w:szCs w:val="22"/>
        </w:rPr>
      </w:pPr>
      <w:r>
        <w:rPr>
          <w:color w:val="000000"/>
          <w:sz w:val="22"/>
          <w:szCs w:val="22"/>
        </w:rPr>
        <w:t xml:space="preserve">Tenders must be submitted using the standard tender form for simplified procedures, the format and instructions of which must be strictly observed. The tender form is available from the following internet address: </w:t>
      </w:r>
      <w:hyperlink r:id="rId9" w:anchor="Annexes-AnnexesB(Ch.3):Servicecontracts">
        <w:r>
          <w:rPr>
            <w:color w:val="0000FF"/>
            <w:sz w:val="22"/>
            <w:szCs w:val="22"/>
            <w:u w:val="single"/>
          </w:rPr>
          <w:t>https://wikis.ec.europa.eu/display/ExactExternalWiki/Annexes#Annexes-AnnexesB(Ch.3):Servicecontracts</w:t>
        </w:r>
      </w:hyperlink>
      <w:r>
        <w:rPr>
          <w:color w:val="000000"/>
          <w:sz w:val="22"/>
          <w:szCs w:val="22"/>
        </w:rPr>
        <w:t xml:space="preserve">, under the zip file called Simplified Tender dossier. </w:t>
      </w:r>
    </w:p>
    <w:p w14:paraId="7832B264" w14:textId="77777777" w:rsidR="00A32F5D" w:rsidRDefault="00000000">
      <w:pPr>
        <w:pBdr>
          <w:top w:val="nil"/>
          <w:left w:val="nil"/>
          <w:bottom w:val="nil"/>
          <w:right w:val="nil"/>
          <w:between w:val="nil"/>
        </w:pBdr>
        <w:ind w:left="284" w:right="360"/>
        <w:jc w:val="both"/>
        <w:rPr>
          <w:color w:val="000000"/>
          <w:sz w:val="22"/>
          <w:szCs w:val="22"/>
        </w:rPr>
      </w:pPr>
      <w:r>
        <w:rPr>
          <w:color w:val="000000"/>
          <w:sz w:val="22"/>
          <w:szCs w:val="22"/>
        </w:rPr>
        <w:t>The tender must be accompanied by a declaration on honour on exclusion and selection criteria using the template available from the following Internet address:</w:t>
      </w:r>
    </w:p>
    <w:p w14:paraId="4BF29C44" w14:textId="77777777" w:rsidR="00A32F5D" w:rsidRDefault="00000000">
      <w:pPr>
        <w:pBdr>
          <w:top w:val="nil"/>
          <w:left w:val="nil"/>
          <w:bottom w:val="nil"/>
          <w:right w:val="nil"/>
          <w:between w:val="nil"/>
        </w:pBdr>
        <w:ind w:left="284" w:right="360"/>
        <w:jc w:val="both"/>
        <w:rPr>
          <w:color w:val="000000"/>
          <w:sz w:val="22"/>
          <w:szCs w:val="22"/>
        </w:rPr>
      </w:pPr>
      <w:hyperlink r:id="rId10" w:anchor="Annexes-AnnexesA(Ch.2):General">
        <w:r>
          <w:rPr>
            <w:color w:val="0000FF"/>
            <w:sz w:val="22"/>
            <w:szCs w:val="22"/>
            <w:u w:val="single"/>
          </w:rPr>
          <w:t>https://wikis.ec.europa.eu/display/ExactExternalWiki/Annexes#Annexes-AnnexesA(Ch.2):General</w:t>
        </w:r>
      </w:hyperlink>
      <w:r>
        <w:rPr>
          <w:color w:val="000000"/>
          <w:sz w:val="22"/>
          <w:szCs w:val="22"/>
        </w:rPr>
        <w:t xml:space="preserve"> </w:t>
      </w:r>
    </w:p>
    <w:p w14:paraId="3561B2F2" w14:textId="77777777" w:rsidR="00A32F5D" w:rsidRDefault="00000000">
      <w:pPr>
        <w:pBdr>
          <w:top w:val="nil"/>
          <w:left w:val="nil"/>
          <w:bottom w:val="nil"/>
          <w:right w:val="nil"/>
          <w:between w:val="nil"/>
        </w:pBdr>
        <w:ind w:left="284" w:right="360"/>
        <w:jc w:val="both"/>
        <w:rPr>
          <w:color w:val="000000"/>
          <w:sz w:val="22"/>
          <w:szCs w:val="22"/>
        </w:rPr>
      </w:pPr>
      <w:r>
        <w:rPr>
          <w:color w:val="000000"/>
          <w:sz w:val="22"/>
          <w:szCs w:val="22"/>
        </w:rPr>
        <w:t>Any additional documentation (brochure, letter, etc.) sent with a tender will not be taken into consideration.</w:t>
      </w:r>
    </w:p>
    <w:p w14:paraId="001ACA61" w14:textId="77777777" w:rsidR="00A32F5D" w:rsidRDefault="00000000">
      <w:pPr>
        <w:ind w:left="284"/>
        <w:rPr>
          <w:sz w:val="22"/>
          <w:szCs w:val="22"/>
        </w:rPr>
      </w:pPr>
      <w:r>
        <w:rPr>
          <w:b/>
          <w:sz w:val="22"/>
          <w:szCs w:val="22"/>
        </w:rPr>
        <w:t xml:space="preserve">20. </w:t>
      </w:r>
      <w:r>
        <w:rPr>
          <w:b/>
          <w:sz w:val="22"/>
          <w:szCs w:val="22"/>
        </w:rPr>
        <w:tab/>
        <w:t>How tenders may be submitted</w:t>
      </w:r>
    </w:p>
    <w:p w14:paraId="1ED2A443" w14:textId="77777777" w:rsidR="00A32F5D" w:rsidRDefault="00000000">
      <w:pPr>
        <w:pBdr>
          <w:top w:val="nil"/>
          <w:left w:val="nil"/>
          <w:bottom w:val="nil"/>
          <w:right w:val="nil"/>
          <w:between w:val="nil"/>
        </w:pBdr>
        <w:ind w:left="284" w:right="360"/>
        <w:jc w:val="both"/>
        <w:rPr>
          <w:color w:val="000000"/>
          <w:sz w:val="22"/>
          <w:szCs w:val="22"/>
        </w:rPr>
      </w:pPr>
      <w:r>
        <w:rPr>
          <w:color w:val="000000"/>
          <w:sz w:val="22"/>
          <w:szCs w:val="22"/>
        </w:rPr>
        <w:t xml:space="preserve">Tenders must be submitted in English exclusively to the contracting authority, using the means specified in point 8 of the instructions to tenderers.  </w:t>
      </w:r>
    </w:p>
    <w:p w14:paraId="11F45A96" w14:textId="77777777" w:rsidR="00A32F5D" w:rsidRDefault="00000000">
      <w:pPr>
        <w:pBdr>
          <w:top w:val="nil"/>
          <w:left w:val="nil"/>
          <w:bottom w:val="nil"/>
          <w:right w:val="nil"/>
          <w:between w:val="nil"/>
        </w:pBdr>
        <w:ind w:left="284" w:right="360"/>
        <w:jc w:val="both"/>
        <w:rPr>
          <w:color w:val="000000"/>
          <w:sz w:val="22"/>
          <w:szCs w:val="22"/>
        </w:rPr>
      </w:pPr>
      <w:r>
        <w:rPr>
          <w:color w:val="000000"/>
          <w:sz w:val="22"/>
          <w:szCs w:val="22"/>
        </w:rPr>
        <w:t>Tenders submitted by any other means will not be considered.</w:t>
      </w:r>
    </w:p>
    <w:p w14:paraId="6643EFDA" w14:textId="77777777" w:rsidR="00A32F5D" w:rsidRDefault="00000000">
      <w:pPr>
        <w:pBdr>
          <w:top w:val="nil"/>
          <w:left w:val="nil"/>
          <w:bottom w:val="nil"/>
          <w:right w:val="nil"/>
          <w:between w:val="nil"/>
        </w:pBdr>
        <w:ind w:left="284" w:right="360"/>
        <w:jc w:val="both"/>
        <w:rPr>
          <w:color w:val="000000"/>
          <w:sz w:val="22"/>
          <w:szCs w:val="22"/>
        </w:rPr>
      </w:pPr>
      <w:r>
        <w:rPr>
          <w:color w:val="000000"/>
          <w:sz w:val="22"/>
          <w:szCs w:val="22"/>
        </w:rPr>
        <w:t xml:space="preserve">By submitting a </w:t>
      </w:r>
      <w:r>
        <w:rPr>
          <w:sz w:val="22"/>
          <w:szCs w:val="22"/>
        </w:rPr>
        <w:t>tender, bidders</w:t>
      </w:r>
      <w:r>
        <w:rPr>
          <w:color w:val="000000"/>
          <w:sz w:val="22"/>
          <w:szCs w:val="22"/>
        </w:rPr>
        <w:t xml:space="preserve"> accept to receive notification of the outcome of the procedure by electronic means.</w:t>
      </w:r>
    </w:p>
    <w:p w14:paraId="57556359" w14:textId="77777777" w:rsidR="00A32F5D" w:rsidRDefault="00000000">
      <w:pPr>
        <w:ind w:left="284"/>
        <w:rPr>
          <w:b/>
          <w:sz w:val="22"/>
          <w:szCs w:val="22"/>
        </w:rPr>
      </w:pPr>
      <w:r>
        <w:rPr>
          <w:b/>
          <w:sz w:val="22"/>
          <w:szCs w:val="22"/>
        </w:rPr>
        <w:t>21.</w:t>
      </w:r>
      <w:r>
        <w:rPr>
          <w:b/>
          <w:sz w:val="22"/>
          <w:szCs w:val="22"/>
        </w:rPr>
        <w:tab/>
        <w:t>Alteration or withdrawal of tenders</w:t>
      </w:r>
    </w:p>
    <w:p w14:paraId="01D12F6B" w14:textId="77777777" w:rsidR="00A32F5D" w:rsidRDefault="00000000">
      <w:pPr>
        <w:pBdr>
          <w:top w:val="nil"/>
          <w:left w:val="nil"/>
          <w:bottom w:val="nil"/>
          <w:right w:val="nil"/>
          <w:between w:val="nil"/>
        </w:pBdr>
        <w:ind w:left="284" w:right="360"/>
        <w:jc w:val="both"/>
        <w:rPr>
          <w:color w:val="000000"/>
          <w:sz w:val="22"/>
          <w:szCs w:val="22"/>
        </w:rPr>
      </w:pPr>
      <w:r>
        <w:rPr>
          <w:color w:val="000000"/>
          <w:sz w:val="22"/>
          <w:szCs w:val="22"/>
        </w:rPr>
        <w:t>Tenderers may alter or withdraw their tenders by written notification prior to the deadline for submission of tenders. No tender may be altered after this deadline.</w:t>
      </w:r>
    </w:p>
    <w:p w14:paraId="5114C66E" w14:textId="77777777" w:rsidR="00A32F5D" w:rsidRDefault="00000000">
      <w:pPr>
        <w:pBdr>
          <w:top w:val="nil"/>
          <w:left w:val="nil"/>
          <w:bottom w:val="nil"/>
          <w:right w:val="nil"/>
          <w:between w:val="nil"/>
        </w:pBdr>
        <w:ind w:left="284" w:right="360"/>
        <w:jc w:val="both"/>
        <w:rPr>
          <w:color w:val="000000"/>
          <w:sz w:val="22"/>
          <w:szCs w:val="22"/>
        </w:rPr>
      </w:pPr>
      <w:r>
        <w:rPr>
          <w:color w:val="000000"/>
          <w:sz w:val="22"/>
          <w:szCs w:val="22"/>
        </w:rPr>
        <w:t xml:space="preserve">Any such notification of alteration or withdrawal shall be prepared and submitted in accordance with point 9 of the instructions to tenderers. </w:t>
      </w:r>
    </w:p>
    <w:p w14:paraId="250D4A66" w14:textId="77777777" w:rsidR="00A32F5D" w:rsidRDefault="00000000">
      <w:pPr>
        <w:keepNext/>
        <w:ind w:left="284"/>
        <w:rPr>
          <w:sz w:val="22"/>
          <w:szCs w:val="22"/>
        </w:rPr>
      </w:pPr>
      <w:r>
        <w:rPr>
          <w:b/>
          <w:sz w:val="22"/>
          <w:szCs w:val="22"/>
        </w:rPr>
        <w:t xml:space="preserve">22. </w:t>
      </w:r>
      <w:r>
        <w:rPr>
          <w:b/>
          <w:sz w:val="22"/>
          <w:szCs w:val="22"/>
        </w:rPr>
        <w:tab/>
        <w:t>Operational language</w:t>
      </w:r>
    </w:p>
    <w:p w14:paraId="09EBECC5" w14:textId="77777777" w:rsidR="00A32F5D" w:rsidRDefault="00000000">
      <w:pPr>
        <w:pBdr>
          <w:top w:val="nil"/>
          <w:left w:val="nil"/>
          <w:bottom w:val="nil"/>
          <w:right w:val="nil"/>
          <w:between w:val="nil"/>
        </w:pBdr>
        <w:ind w:left="284" w:right="360"/>
        <w:jc w:val="both"/>
        <w:rPr>
          <w:i/>
          <w:color w:val="000000"/>
          <w:sz w:val="22"/>
          <w:szCs w:val="22"/>
        </w:rPr>
      </w:pPr>
      <w:r>
        <w:rPr>
          <w:color w:val="000000"/>
          <w:sz w:val="22"/>
          <w:szCs w:val="22"/>
        </w:rPr>
        <w:t xml:space="preserve">All written communications for this tender procedure and contract must be in English.  </w:t>
      </w:r>
    </w:p>
    <w:p w14:paraId="3AE70082" w14:textId="77777777" w:rsidR="00A32F5D" w:rsidRDefault="00000000">
      <w:pPr>
        <w:pBdr>
          <w:top w:val="nil"/>
          <w:left w:val="nil"/>
          <w:bottom w:val="nil"/>
          <w:right w:val="nil"/>
          <w:between w:val="nil"/>
        </w:pBdr>
        <w:ind w:left="284" w:right="360"/>
        <w:jc w:val="both"/>
        <w:rPr>
          <w:b/>
          <w:color w:val="000000"/>
          <w:sz w:val="22"/>
          <w:szCs w:val="22"/>
        </w:rPr>
      </w:pPr>
      <w:r>
        <w:rPr>
          <w:b/>
          <w:color w:val="000000"/>
          <w:sz w:val="22"/>
          <w:szCs w:val="22"/>
        </w:rPr>
        <w:t>23. Additional information</w:t>
      </w:r>
    </w:p>
    <w:p w14:paraId="4B0B44E1" w14:textId="77777777" w:rsidR="00A32F5D" w:rsidRDefault="00000000">
      <w:pPr>
        <w:widowControl/>
        <w:spacing w:after="0"/>
        <w:ind w:left="284" w:right="360"/>
        <w:jc w:val="both"/>
      </w:pPr>
      <w:r>
        <w:t xml:space="preserve">Financial data to be provided by the candidate in the standard application form must be expressed in TRY. If applicable, where a candidate refers to amounts originally expressed in a different currency, the conversion to TRY shall be made in accordance with the </w:t>
      </w:r>
      <w:proofErr w:type="spellStart"/>
      <w:r>
        <w:t>InforEuro</w:t>
      </w:r>
      <w:proofErr w:type="spellEnd"/>
      <w:r>
        <w:t xml:space="preserve"> exchange rate of month and year      correspond to the month and year of the publication of the present contract notice or the month and year corresponding to the deadline for submitting applications, which can be found at the following address: </w:t>
      </w:r>
      <w:hyperlink r:id="rId11">
        <w:r>
          <w:rPr>
            <w:color w:val="0000FF"/>
            <w:u w:val="single"/>
          </w:rPr>
          <w:t>http://ec.europa.eu/budget/graphs/inforeuro.html</w:t>
        </w:r>
      </w:hyperlink>
      <w:r>
        <w:t>.</w:t>
      </w:r>
    </w:p>
    <w:p w14:paraId="0A5E5AC9" w14:textId="77777777" w:rsidR="00A32F5D" w:rsidRDefault="00000000">
      <w:pPr>
        <w:pBdr>
          <w:top w:val="nil"/>
          <w:left w:val="nil"/>
          <w:bottom w:val="nil"/>
          <w:right w:val="nil"/>
          <w:between w:val="nil"/>
        </w:pBdr>
        <w:ind w:left="284" w:right="360"/>
        <w:jc w:val="both"/>
        <w:rPr>
          <w:color w:val="000000"/>
          <w:sz w:val="22"/>
          <w:szCs w:val="22"/>
        </w:rPr>
      </w:pPr>
      <w:r>
        <w:t xml:space="preserve">     </w:t>
      </w:r>
    </w:p>
    <w:sectPr w:rsidR="00A32F5D">
      <w:headerReference w:type="even" r:id="rId12"/>
      <w:headerReference w:type="default" r:id="rId13"/>
      <w:footerReference w:type="even" r:id="rId14"/>
      <w:footerReference w:type="default" r:id="rId15"/>
      <w:headerReference w:type="first" r:id="rId16"/>
      <w:footerReference w:type="first" r:id="rId17"/>
      <w:pgSz w:w="12240" w:h="15840"/>
      <w:pgMar w:top="709" w:right="900" w:bottom="1276" w:left="851" w:header="851" w:footer="6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EF800" w14:textId="77777777" w:rsidR="000F2FD0" w:rsidRDefault="000F2FD0">
      <w:pPr>
        <w:spacing w:before="0" w:after="0"/>
      </w:pPr>
      <w:r>
        <w:separator/>
      </w:r>
    </w:p>
  </w:endnote>
  <w:endnote w:type="continuationSeparator" w:id="0">
    <w:p w14:paraId="272C98BC" w14:textId="77777777" w:rsidR="000F2FD0" w:rsidRDefault="000F2FD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05F63B2F-E9BF-44A3-939C-453E929EDB2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59473D71-2F75-4E24-9800-92B07DA38E67}"/>
    <w:embedBold r:id="rId3" w:fontKey="{65F3E77A-ABE2-4AB7-94EA-6B15C2C59438}"/>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roman"/>
    <w:notTrueType/>
    <w:pitch w:val="default"/>
    <w:embedRegular r:id="rId4" w:fontKey="{6A78E460-675B-47DC-AD17-0630BC542428}"/>
  </w:font>
  <w:font w:name="Quattrocento Sans">
    <w:charset w:val="00"/>
    <w:family w:val="swiss"/>
    <w:pitch w:val="variable"/>
    <w:sig w:usb0="800000BF" w:usb1="4000005B" w:usb2="00000000" w:usb3="00000000" w:csb0="00000001" w:csb1="00000000"/>
    <w:embedRegular r:id="rId5" w:fontKey="{E1FA89E1-A6BE-4A90-B1FC-4BDED89B8A23}"/>
  </w:font>
  <w:font w:name="Calibri Light">
    <w:panose1 w:val="020F0302020204030204"/>
    <w:charset w:val="00"/>
    <w:family w:val="swiss"/>
    <w:pitch w:val="variable"/>
    <w:sig w:usb0="E4002EFF" w:usb1="C000247B" w:usb2="00000009" w:usb3="00000000" w:csb0="000001FF" w:csb1="00000000"/>
    <w:embedRegular r:id="rId6" w:fontKey="{DF337AEE-E60C-4E0D-98A8-0A67CA944A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811D0" w14:textId="77777777" w:rsidR="00A32F5D" w:rsidRDefault="00A32F5D">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2018A" w14:textId="77777777" w:rsidR="00A32F5D" w:rsidRDefault="00000000">
    <w:pPr>
      <w:pBdr>
        <w:top w:val="nil"/>
        <w:left w:val="nil"/>
        <w:bottom w:val="nil"/>
        <w:right w:val="nil"/>
        <w:between w:val="nil"/>
      </w:pBdr>
      <w:tabs>
        <w:tab w:val="center" w:pos="4320"/>
        <w:tab w:val="right" w:pos="8640"/>
        <w:tab w:val="right" w:pos="9214"/>
      </w:tabs>
      <w:spacing w:before="120" w:after="0"/>
      <w:rPr>
        <w:b/>
        <w:color w:val="000000"/>
        <w:sz w:val="20"/>
        <w:szCs w:val="20"/>
      </w:rPr>
    </w:pPr>
    <w:r>
      <w:rPr>
        <w:b/>
        <w:color w:val="000000"/>
        <w:sz w:val="20"/>
        <w:szCs w:val="20"/>
      </w:rPr>
      <w:t>2021.1</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385717">
      <w:rPr>
        <w:noProof/>
        <w:color w:val="000000"/>
        <w:sz w:val="18"/>
        <w:szCs w:val="18"/>
      </w:rPr>
      <w:t>1</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385717">
      <w:rPr>
        <w:noProof/>
        <w:color w:val="000000"/>
        <w:sz w:val="18"/>
        <w:szCs w:val="18"/>
      </w:rPr>
      <w:t>2</w:t>
    </w:r>
    <w:r>
      <w:rPr>
        <w:color w:val="000000"/>
        <w:sz w:val="18"/>
        <w:szCs w:val="18"/>
      </w:rPr>
      <w:fldChar w:fldCharType="end"/>
    </w:r>
  </w:p>
  <w:p w14:paraId="7F61F05B" w14:textId="77777777" w:rsidR="00A32F5D" w:rsidRDefault="00000000">
    <w:pPr>
      <w:pBdr>
        <w:top w:val="nil"/>
        <w:left w:val="nil"/>
        <w:bottom w:val="nil"/>
        <w:right w:val="nil"/>
        <w:between w:val="nil"/>
      </w:pBdr>
      <w:tabs>
        <w:tab w:val="center" w:pos="4320"/>
        <w:tab w:val="right" w:pos="8640"/>
      </w:tabs>
      <w:spacing w:before="0" w:after="0"/>
      <w:rPr>
        <w:sz w:val="22"/>
        <w:szCs w:val="22"/>
        <w:highlight w:val="white"/>
      </w:rPr>
    </w:pPr>
    <w:r>
      <w:rPr>
        <w:color w:val="000000"/>
        <w:sz w:val="18"/>
        <w:szCs w:val="18"/>
      </w:rPr>
      <w:t>b8o3_contractnotice_simp_en.doc</w:t>
    </w:r>
  </w:p>
  <w:p w14:paraId="6B4EE278" w14:textId="77777777" w:rsidR="00A32F5D" w:rsidRDefault="00A32F5D">
    <w:pPr>
      <w:pBdr>
        <w:top w:val="nil"/>
        <w:left w:val="nil"/>
        <w:bottom w:val="nil"/>
        <w:right w:val="nil"/>
        <w:between w:val="nil"/>
      </w:pBdr>
      <w:tabs>
        <w:tab w:val="center" w:pos="4320"/>
        <w:tab w:val="right" w:pos="8640"/>
      </w:tabs>
      <w:spacing w:before="0" w:after="0"/>
      <w:rPr>
        <w:sz w:val="22"/>
        <w:szCs w:val="22"/>
        <w:highlight w:val="whit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88F99" w14:textId="77777777" w:rsidR="00A32F5D" w:rsidRDefault="00A32F5D">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E29B3" w14:textId="77777777" w:rsidR="000F2FD0" w:rsidRDefault="000F2FD0">
      <w:pPr>
        <w:spacing w:before="0" w:after="0"/>
      </w:pPr>
      <w:r>
        <w:separator/>
      </w:r>
    </w:p>
  </w:footnote>
  <w:footnote w:type="continuationSeparator" w:id="0">
    <w:p w14:paraId="6490F729" w14:textId="77777777" w:rsidR="000F2FD0" w:rsidRDefault="000F2FD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F34C7" w14:textId="77777777" w:rsidR="00A32F5D" w:rsidRDefault="00A32F5D">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82DAB" w14:textId="77777777" w:rsidR="00A32F5D" w:rsidRDefault="00A32F5D">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99B1A" w14:textId="77777777" w:rsidR="00A32F5D" w:rsidRDefault="00A32F5D">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12935"/>
    <w:multiLevelType w:val="multilevel"/>
    <w:tmpl w:val="13F6122A"/>
    <w:lvl w:ilvl="0">
      <w:start w:val="1"/>
      <w:numFmt w:val="decimal"/>
      <w:pStyle w:val="PRAG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4DD6694"/>
    <w:multiLevelType w:val="multilevel"/>
    <w:tmpl w:val="CF2C625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019310806">
    <w:abstractNumId w:val="1"/>
  </w:num>
  <w:num w:numId="2" w16cid:durableId="315647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F5D"/>
    <w:rsid w:val="000F2FD0"/>
    <w:rsid w:val="00385717"/>
    <w:rsid w:val="005A034C"/>
    <w:rsid w:val="00A32F5D"/>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77C85"/>
  <w15:docId w15:val="{A55DE80D-610F-4FF5-911C-0084D52F0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BE" w:bidi="ar-SA"/>
      </w:rPr>
    </w:rPrDefault>
    <w:pPrDefault>
      <w:pPr>
        <w:widowControl w:val="0"/>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napToGrid w:val="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7D6292"/>
    <w:pPr>
      <w:keepNext/>
      <w:widowControl/>
      <w:spacing w:before="120" w:after="120"/>
      <w:outlineLvl w:val="1"/>
    </w:pPr>
    <w:rPr>
      <w:rFonts w:ascii="Arial" w:hAnsi="Arial"/>
      <w:sz w:val="20"/>
      <w:lang w:val="fr-BE"/>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4916FF"/>
    <w:pPr>
      <w:keepNext/>
      <w:spacing w:before="240" w:after="60"/>
      <w:outlineLvl w:val="3"/>
    </w:pPr>
    <w:rPr>
      <w:rFonts w:ascii="Calibri" w:hAnsi="Calibri"/>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uiPriority w:val="20"/>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pBdr>
        <w:top w:val="double" w:sz="2" w:space="0" w:color="000000"/>
      </w:pBdr>
      <w:jc w:val="center"/>
    </w:pPr>
    <w:rPr>
      <w:rFonts w:ascii="Arial" w:hAnsi="Arial"/>
      <w:snapToGrid w:val="0"/>
      <w:vanish/>
      <w:sz w:val="16"/>
    </w:rPr>
  </w:style>
  <w:style w:type="paragraph" w:styleId="z-TopofForm">
    <w:name w:val="HTML Top of Form"/>
    <w:next w:val="Normal"/>
    <w:hidden/>
    <w:pPr>
      <w:pBdr>
        <w:bottom w:val="double" w:sz="2" w:space="0" w:color="000000"/>
      </w:pBdr>
      <w:jc w:val="center"/>
    </w:pPr>
    <w:rPr>
      <w:rFonts w:ascii="Arial" w:hAnsi="Arial"/>
      <w:snapToGrid w:val="0"/>
      <w:vanish/>
      <w:sz w:val="16"/>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rPr>
  </w:style>
  <w:style w:type="paragraph" w:styleId="FootnoteText">
    <w:name w:val="footnote text"/>
    <w:basedOn w:val="Normal"/>
    <w:link w:val="FootnoteTextChar"/>
    <w:uiPriority w:val="99"/>
    <w:rsid w:val="001951FE"/>
    <w:rPr>
      <w:sz w:val="20"/>
    </w:rPr>
  </w:style>
  <w:style w:type="character" w:styleId="FootnoteReference">
    <w:name w:val="footnote reference"/>
    <w:uiPriority w:val="99"/>
    <w:qFormat/>
    <w:rsid w:val="001951FE"/>
    <w:rPr>
      <w:vertAlign w:val="superscript"/>
    </w:rPr>
  </w:style>
  <w:style w:type="character" w:customStyle="1" w:styleId="FooterChar">
    <w:name w:val="Footer Char"/>
    <w:link w:val="Footer"/>
    <w:rsid w:val="007727F3"/>
    <w:rPr>
      <w:snapToGrid w:val="0"/>
      <w:sz w:val="24"/>
      <w:lang w:val="en-US" w:eastAsia="en-US"/>
    </w:rPr>
  </w:style>
  <w:style w:type="paragraph" w:styleId="BalloonText">
    <w:name w:val="Balloon Text"/>
    <w:basedOn w:val="Normal"/>
    <w:link w:val="BalloonTextChar"/>
    <w:rsid w:val="00D240C3"/>
    <w:pPr>
      <w:spacing w:before="0" w:after="0"/>
    </w:pPr>
    <w:rPr>
      <w:rFonts w:ascii="Tahoma" w:hAnsi="Tahoma" w:cs="Tahoma"/>
      <w:sz w:val="16"/>
      <w:szCs w:val="16"/>
    </w:rPr>
  </w:style>
  <w:style w:type="character" w:customStyle="1" w:styleId="BalloonTextChar">
    <w:name w:val="Balloon Text Char"/>
    <w:link w:val="BalloonText"/>
    <w:rsid w:val="00D240C3"/>
    <w:rPr>
      <w:rFonts w:ascii="Tahoma" w:hAnsi="Tahoma" w:cs="Tahoma"/>
      <w:snapToGrid w:val="0"/>
      <w:sz w:val="16"/>
      <w:szCs w:val="16"/>
      <w:lang w:val="en-US" w:eastAsia="en-US"/>
    </w:rPr>
  </w:style>
  <w:style w:type="character" w:styleId="CommentReference">
    <w:name w:val="annotation reference"/>
    <w:rsid w:val="009B69BE"/>
    <w:rPr>
      <w:sz w:val="16"/>
      <w:szCs w:val="16"/>
    </w:rPr>
  </w:style>
  <w:style w:type="paragraph" w:styleId="CommentText">
    <w:name w:val="annotation text"/>
    <w:basedOn w:val="Normal"/>
    <w:link w:val="CommentTextChar"/>
    <w:rsid w:val="009B69BE"/>
    <w:rPr>
      <w:sz w:val="20"/>
    </w:rPr>
  </w:style>
  <w:style w:type="character" w:customStyle="1" w:styleId="CommentTextChar">
    <w:name w:val="Comment Text Char"/>
    <w:link w:val="CommentText"/>
    <w:rsid w:val="009B69BE"/>
    <w:rPr>
      <w:snapToGrid w:val="0"/>
      <w:lang w:val="en-US" w:eastAsia="en-US"/>
    </w:rPr>
  </w:style>
  <w:style w:type="paragraph" w:styleId="CommentSubject">
    <w:name w:val="annotation subject"/>
    <w:basedOn w:val="CommentText"/>
    <w:next w:val="CommentText"/>
    <w:link w:val="CommentSubjectChar"/>
    <w:rsid w:val="009B69BE"/>
    <w:rPr>
      <w:b/>
      <w:bCs/>
    </w:rPr>
  </w:style>
  <w:style w:type="character" w:customStyle="1" w:styleId="CommentSubjectChar">
    <w:name w:val="Comment Subject Char"/>
    <w:link w:val="CommentSubject"/>
    <w:rsid w:val="009B69BE"/>
    <w:rPr>
      <w:b/>
      <w:bCs/>
      <w:snapToGrid w:val="0"/>
      <w:lang w:val="en-US" w:eastAsia="en-US"/>
    </w:rPr>
  </w:style>
  <w:style w:type="paragraph" w:customStyle="1" w:styleId="PRAGHeading2">
    <w:name w:val="PRAG Heading 2"/>
    <w:basedOn w:val="Normal"/>
    <w:rsid w:val="00971962"/>
    <w:pPr>
      <w:numPr>
        <w:numId w:val="2"/>
      </w:numPr>
    </w:pPr>
  </w:style>
  <w:style w:type="paragraph" w:styleId="Subtitle">
    <w:name w:val="Subtitle"/>
    <w:basedOn w:val="Normal"/>
    <w:next w:val="Normal"/>
    <w:link w:val="SubtitleChar"/>
    <w:uiPriority w:val="11"/>
    <w:qFormat/>
    <w:pPr>
      <w:widowControl/>
      <w:spacing w:before="0" w:after="0"/>
      <w:jc w:val="center"/>
    </w:pPr>
    <w:rPr>
      <w:b/>
      <w:sz w:val="28"/>
      <w:szCs w:val="28"/>
    </w:rPr>
  </w:style>
  <w:style w:type="character" w:customStyle="1" w:styleId="SubtitleChar">
    <w:name w:val="Subtitle Char"/>
    <w:link w:val="Subtitle"/>
    <w:rsid w:val="00A36F1C"/>
    <w:rPr>
      <w:b/>
      <w:sz w:val="28"/>
      <w:lang w:val="fr-BE"/>
    </w:rPr>
  </w:style>
  <w:style w:type="character" w:customStyle="1" w:styleId="FootnoteTextChar">
    <w:name w:val="Footnote Text Char"/>
    <w:link w:val="FootnoteText"/>
    <w:uiPriority w:val="99"/>
    <w:rsid w:val="00B9793F"/>
    <w:rPr>
      <w:snapToGrid w:val="0"/>
      <w:lang w:val="en-US" w:eastAsia="en-US"/>
    </w:rPr>
  </w:style>
  <w:style w:type="character" w:customStyle="1" w:styleId="normaltextrun">
    <w:name w:val="normaltextrun"/>
    <w:rsid w:val="00B9793F"/>
  </w:style>
  <w:style w:type="character" w:customStyle="1" w:styleId="eop">
    <w:name w:val="eop"/>
    <w:rsid w:val="00B9793F"/>
  </w:style>
  <w:style w:type="paragraph" w:customStyle="1" w:styleId="paragraph">
    <w:name w:val="paragraph"/>
    <w:basedOn w:val="Normal"/>
    <w:rsid w:val="00B9793F"/>
    <w:pPr>
      <w:widowControl/>
      <w:spacing w:beforeAutospacing="1" w:afterAutospacing="1"/>
    </w:pPr>
    <w:rPr>
      <w:snapToGrid/>
      <w:lang w:val="fr-BE" w:eastAsia="fr-BE"/>
    </w:rPr>
  </w:style>
  <w:style w:type="character" w:customStyle="1" w:styleId="highlight">
    <w:name w:val="highlight"/>
    <w:rsid w:val="00B9793F"/>
    <w:rPr>
      <w:rFonts w:cs="Times New Roman"/>
    </w:rPr>
  </w:style>
  <w:style w:type="paragraph" w:styleId="ListParagraph">
    <w:name w:val="List Paragraph"/>
    <w:basedOn w:val="Normal"/>
    <w:uiPriority w:val="34"/>
    <w:qFormat/>
    <w:rsid w:val="00B9793F"/>
    <w:pPr>
      <w:ind w:left="720"/>
    </w:pPr>
  </w:style>
  <w:style w:type="paragraph" w:styleId="Revision">
    <w:name w:val="Revision"/>
    <w:hidden/>
    <w:uiPriority w:val="99"/>
    <w:semiHidden/>
    <w:rsid w:val="00D97139"/>
    <w:rPr>
      <w:snapToGrid w:val="0"/>
    </w:rPr>
  </w:style>
  <w:style w:type="character" w:customStyle="1" w:styleId="Heading4Char">
    <w:name w:val="Heading 4 Char"/>
    <w:link w:val="Heading4"/>
    <w:semiHidden/>
    <w:rsid w:val="004916FF"/>
    <w:rPr>
      <w:rFonts w:ascii="Calibri" w:eastAsia="Times New Roman" w:hAnsi="Calibri" w:cs="Times New Roman"/>
      <w:b/>
      <w:bCs/>
      <w:snapToGrid w:val="0"/>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budget/graphs/inforeuro.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ikis.ec.europa.eu/display/ExactExternalWiki/Annex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ikis.ec.europa.eu/display/ExactExternalWiki/Annexes"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3HSujNvZqW0JO0qGtMUxWDZW2g==">CgMxLjAyDmguZ29ldnhjbmIzaXQwMgxoLjYwYnMxMTM0em8yDmguZDBnM2cwZjBndGtxMg5oLnFpdGtxY2Y2NXBwczgAciExTmxqZG9CTEFCXzZIaVNXUlg0MjZGSHdSV1lDdmxiLUs=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1621</Words>
  <Characters>9241</Characters>
  <Application>Microsoft Office Word</Application>
  <DocSecurity>0</DocSecurity>
  <Lines>77</Lines>
  <Paragraphs>21</Paragraphs>
  <ScaleCrop>false</ScaleCrop>
  <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ramatje</dc:creator>
  <cp:lastModifiedBy>Richard Gavrilescu</cp:lastModifiedBy>
  <cp:revision>2</cp:revision>
  <dcterms:created xsi:type="dcterms:W3CDTF">2020-04-15T15:51:00Z</dcterms:created>
  <dcterms:modified xsi:type="dcterms:W3CDTF">2025-08-18T08:33:00Z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y fmtid="{D5CDD505-2E9C-101B-9397-08002B2CF9AE}" pid="4" name="GrammarlyDocumentId">
    <vt:lpwstr>ab5000a5301767d732ef619792e88ffbf4bec730f99d1b4cec41393188fc869a</vt:lpwstr>
  </property>
</Properties>
</file>