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SERVICE CONTRACT NOTICE</w:t>
      </w:r>
    </w:p>
    <w:p w:rsidR="00000000" w:rsidDel="00000000" w:rsidP="00000000" w:rsidRDefault="00000000" w:rsidRPr="00000000" w14:paraId="00000002">
      <w:pPr>
        <w:spacing w:after="0" w:lineRule="auto"/>
        <w:jc w:val="center"/>
        <w:rPr>
          <w:sz w:val="28"/>
          <w:szCs w:val="28"/>
        </w:rPr>
      </w:pPr>
      <w:bookmarkStart w:colFirst="0" w:colLast="0" w:name="_heading=h.gjdgxs" w:id="0"/>
      <w:bookmarkEnd w:id="0"/>
      <w:r w:rsidDel="00000000" w:rsidR="00000000" w:rsidRPr="00000000">
        <w:rPr>
          <w:b w:val="1"/>
          <w:sz w:val="28"/>
          <w:szCs w:val="28"/>
          <w:rtl w:val="0"/>
        </w:rPr>
        <w:t xml:space="preserve">Service  for providing Social Media services for the Implementation of Project – 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3">
      <w:pPr>
        <w:rPr>
          <w:b w:val="1"/>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b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ind w:right="360"/>
        <w:rPr>
          <w:color w:val="000000"/>
          <w:sz w:val="22"/>
          <w:szCs w:val="22"/>
        </w:rPr>
      </w:pPr>
      <w:r w:rsidDel="00000000" w:rsidR="00000000" w:rsidRPr="00000000">
        <w:rPr>
          <w:rFonts w:ascii="Times New Roman" w:cs="Times New Roman" w:eastAsia="Times New Roman" w:hAnsi="Times New Roman"/>
          <w:b w:val="1"/>
          <w:sz w:val="22"/>
          <w:szCs w:val="22"/>
          <w:rtl w:val="0"/>
        </w:rPr>
        <w:t xml:space="preserve">IPA III/2024/457-197/TK-007</w:t>
      </w: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ind w:right="360"/>
        <w:rPr>
          <w:color w:val="000000"/>
          <w:sz w:val="22"/>
          <w:szCs w:val="22"/>
        </w:rPr>
      </w:pP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b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ind w:right="357"/>
        <w:jc w:val="both"/>
        <w:rPr>
          <w:color w:val="000000"/>
          <w:sz w:val="22"/>
          <w:szCs w:val="22"/>
        </w:rPr>
      </w:pPr>
      <w:r w:rsidDel="00000000" w:rsidR="00000000" w:rsidRPr="00000000">
        <w:rPr>
          <w:color w:val="000000"/>
          <w:sz w:val="22"/>
          <w:szCs w:val="22"/>
          <w:rtl w:val="0"/>
        </w:rPr>
        <w:t xml:space="preserve">Single</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ind w:right="357"/>
        <w:jc w:val="both"/>
        <w:rPr>
          <w:color w:val="000000"/>
          <w:sz w:val="22"/>
          <w:szCs w:val="22"/>
        </w:rPr>
      </w:pPr>
      <w:r w:rsidDel="00000000" w:rsidR="00000000" w:rsidRPr="00000000">
        <w:rPr>
          <w:rtl w:val="0"/>
        </w:rPr>
      </w:r>
    </w:p>
    <w:p w:rsidR="00000000" w:rsidDel="00000000" w:rsidP="00000000" w:rsidRDefault="00000000" w:rsidRPr="00000000" w14:paraId="0000000A">
      <w:pPr>
        <w:rPr>
          <w:b w:val="1"/>
          <w:sz w:val="22"/>
          <w:szCs w:val="22"/>
        </w:rPr>
      </w:pPr>
      <w:r w:rsidDel="00000000" w:rsidR="00000000" w:rsidRPr="00000000">
        <w:rPr>
          <w:b w:val="1"/>
          <w:sz w:val="22"/>
          <w:szCs w:val="22"/>
          <w:rtl w:val="0"/>
        </w:rPr>
        <w:t xml:space="preserve">3. </w:t>
        <w:tab/>
        <w:t xml:space="preserve">Programme title</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ind w:right="26"/>
        <w:rPr>
          <w:color w:val="000000"/>
          <w:sz w:val="22"/>
          <w:szCs w:val="22"/>
        </w:rPr>
      </w:pPr>
      <w:r w:rsidDel="00000000" w:rsidR="00000000" w:rsidRPr="00000000">
        <w:rPr>
          <w:rFonts w:ascii="Times New Roman" w:cs="Times New Roman" w:eastAsia="Times New Roman" w:hAnsi="Times New Roman"/>
          <w:i w:val="0"/>
          <w:color w:val="000000"/>
          <w:sz w:val="24"/>
          <w:szCs w:val="24"/>
          <w:u w:val="none"/>
          <w:vertAlign w:val="baseline"/>
          <w:rtl w:val="0"/>
        </w:rPr>
        <w:t xml:space="preserve">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ind w:right="26"/>
        <w:rPr>
          <w:color w:val="000000"/>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Budget line 5.8.2 of the Action “EU Support to REDI Phase II: Advancing Roma Entrepreneurs in the Western Balkans and Türkiye” financed by European Union</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11">
      <w:pPr>
        <w:ind w:right="357"/>
        <w:jc w:val="both"/>
        <w:rPr>
          <w:sz w:val="22"/>
          <w:szCs w:val="22"/>
          <w:highlight w:val="white"/>
        </w:rPr>
      </w:pPr>
      <w:r w:rsidDel="00000000" w:rsidR="00000000" w:rsidRPr="00000000">
        <w:rPr>
          <w:sz w:val="22"/>
          <w:szCs w:val="22"/>
          <w:rtl w:val="0"/>
        </w:rPr>
        <w:t xml:space="preserve">Roma Entrepreneurship Development Initiative REDI </w:t>
      </w:r>
      <w:r w:rsidDel="00000000" w:rsidR="00000000" w:rsidRPr="00000000">
        <w:rPr>
          <w:sz w:val="22"/>
          <w:szCs w:val="22"/>
          <w:highlight w:val="white"/>
          <w:rtl w:val="0"/>
        </w:rPr>
        <w:t xml:space="preserve">Türkiye (ROMAN GİRİŞİMCİLİĞİNİ GELİŞTİRME İNİSİYATİFİ DERNEĞİ)</w:t>
      </w:r>
    </w:p>
    <w:p w:rsidR="00000000" w:rsidDel="00000000" w:rsidP="00000000" w:rsidRDefault="00000000" w:rsidRPr="00000000" w14:paraId="00000012">
      <w:pPr>
        <w:ind w:right="357"/>
        <w:jc w:val="both"/>
        <w:rPr>
          <w:sz w:val="22"/>
          <w:szCs w:val="22"/>
          <w:highlight w:val="white"/>
        </w:rPr>
      </w:pPr>
      <w:r w:rsidDel="00000000" w:rsidR="00000000" w:rsidRPr="00000000">
        <w:rPr>
          <w:rtl w:val="0"/>
        </w:rPr>
      </w:r>
    </w:p>
    <w:p w:rsidR="00000000" w:rsidDel="00000000" w:rsidP="00000000" w:rsidRDefault="00000000" w:rsidRPr="00000000" w14:paraId="00000013">
      <w:pPr>
        <w:jc w:val="center"/>
        <w:rPr>
          <w:sz w:val="28"/>
          <w:szCs w:val="28"/>
        </w:rPr>
      </w:pPr>
      <w:r w:rsidDel="00000000" w:rsidR="00000000" w:rsidRPr="00000000">
        <w:rPr>
          <w:b w:val="1"/>
          <w:sz w:val="28"/>
          <w:szCs w:val="28"/>
          <w:rtl w:val="0"/>
        </w:rPr>
        <w:t xml:space="preserve">CONTRACT SPECIFICATION</w:t>
      </w: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Global-price</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This contract covers the procurement and timely delivery of printed promotional materials required for the implementation of the project activities of the Business Center within the project EU Support to REDI Phase II: Advancing Roma Entrepreneurs in the Western Balkans and Türkiye implemented by Roma Entrepreneurship development Initiative REDI </w:t>
      </w:r>
      <w:r w:rsidDel="00000000" w:rsidR="00000000" w:rsidRPr="00000000">
        <w:rPr>
          <w:sz w:val="22"/>
          <w:szCs w:val="22"/>
          <w:rtl w:val="0"/>
        </w:rPr>
        <w:t xml:space="preserve">Türkiye</w:t>
      </w:r>
      <w:r w:rsidDel="00000000" w:rsidR="00000000" w:rsidRPr="00000000">
        <w:rPr>
          <w:color w:val="000000"/>
          <w:sz w:val="22"/>
          <w:szCs w:val="22"/>
          <w:rtl w:val="0"/>
        </w:rPr>
        <w:t xml:space="preserve">. The supplier shall provide high-quality printed promotional materials including, such as but not limited to the following supplies: flayers, roll-banners, brochures, notebooks, pens, window stickers, etc. The contract encompasses the supply, packaging, transportation, and unloading of the materials at designated delivery points as specified by the purchaser. Upon conclusion of a contract with the selected operator based on the most favorable offer, purchase orders shall be issued on a periodic basis, contingent upon need and within the limits of the allocated budget. The supplier is expected to ensure continuous availability of materials, adhere to delivery schedules, comply with quality standards, and provide responsive customer service. All deliveries shall meet the specifications detailed in the technical specification of the tender and purchase orders.</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sz w:val="22"/>
          <w:szCs w:val="22"/>
          <w:rtl w:val="0"/>
        </w:rPr>
        <w:t xml:space="preserve">This tender procedure is not divided into lots.</w:t>
      </w:r>
    </w:p>
    <w:p w:rsidR="00000000" w:rsidDel="00000000" w:rsidP="00000000" w:rsidRDefault="00000000" w:rsidRPr="00000000" w14:paraId="0000001C">
      <w:pPr>
        <w:jc w:val="center"/>
        <w:rPr>
          <w:sz w:val="22"/>
          <w:szCs w:val="22"/>
        </w:rPr>
      </w:pPr>
      <w:r w:rsidDel="00000000" w:rsidR="00000000" w:rsidRPr="00000000">
        <w:rPr>
          <w:rtl w:val="0"/>
        </w:rPr>
      </w:r>
    </w:p>
    <w:p w:rsidR="00000000" w:rsidDel="00000000" w:rsidP="00000000" w:rsidRDefault="00000000" w:rsidRPr="00000000" w14:paraId="0000001D">
      <w:pPr>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rPr>
          <w:b w:val="1"/>
          <w:color w:val="000000"/>
          <w:sz w:val="22"/>
          <w:szCs w:val="22"/>
        </w:rPr>
      </w:pPr>
      <w:r w:rsidDel="00000000" w:rsidR="00000000" w:rsidRPr="00000000">
        <w:rPr>
          <w:b w:val="1"/>
          <w:sz w:val="22"/>
          <w:szCs w:val="22"/>
          <w:rtl w:val="0"/>
        </w:rPr>
        <w:t xml:space="preserve">9</w:t>
      </w:r>
      <w:r w:rsidDel="00000000" w:rsidR="00000000" w:rsidRPr="00000000">
        <w:rPr>
          <w:b w:val="1"/>
          <w:color w:val="000000"/>
          <w:sz w:val="22"/>
          <w:szCs w:val="22"/>
          <w:rtl w:val="0"/>
        </w:rPr>
        <w:t xml:space="preserve">. Legal basis, eligibility and rules of origin</w:t>
      </w:r>
    </w:p>
    <w:p w:rsidR="00000000" w:rsidDel="00000000" w:rsidP="00000000" w:rsidRDefault="00000000" w:rsidRPr="00000000" w14:paraId="0000001F">
      <w:pPr>
        <w:widowControl w:val="1"/>
        <w:pBdr>
          <w:top w:color="000000" w:space="0" w:sz="0" w:val="none"/>
          <w:left w:color="000000" w:space="0" w:sz="0" w:val="none"/>
          <w:bottom w:color="000000" w:space="0" w:sz="0" w:val="none"/>
          <w:right w:color="000000" w:space="0" w:sz="0" w:val="none"/>
          <w:between w:color="000000" w:space="0" w:sz="0" w:val="none"/>
        </w:pBdr>
        <w:spacing w:after="0" w:before="0" w:lineRule="auto"/>
        <w:ind w:right="270"/>
        <w:jc w:val="both"/>
        <w:rPr>
          <w:color w:val="000000"/>
          <w:sz w:val="22"/>
          <w:szCs w:val="22"/>
        </w:rPr>
      </w:pPr>
      <w:r w:rsidDel="00000000" w:rsidR="00000000" w:rsidRPr="00000000">
        <w:rPr>
          <w:rtl w:val="0"/>
        </w:rPr>
      </w:r>
    </w:p>
    <w:p w:rsidR="00000000" w:rsidDel="00000000" w:rsidP="00000000" w:rsidRDefault="00000000" w:rsidRPr="00000000" w14:paraId="00000020">
      <w:pPr>
        <w:widowControl w:val="1"/>
        <w:pBdr>
          <w:top w:color="000000" w:space="0" w:sz="0" w:val="none"/>
          <w:left w:color="000000" w:space="0" w:sz="0" w:val="none"/>
          <w:bottom w:color="000000" w:space="0" w:sz="0" w:val="none"/>
          <w:right w:color="000000" w:space="0" w:sz="0" w:val="none"/>
          <w:between w:color="000000" w:space="0" w:sz="0" w:val="none"/>
        </w:pBdr>
        <w:spacing w:after="0" w:before="0" w:lineRule="auto"/>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The legal basis of this procedure is Regulation (EU) No 1529</w:t>
      </w:r>
      <w:r w:rsidDel="00000000" w:rsidR="00000000" w:rsidRPr="00000000">
        <w:rPr>
          <w:color w:val="000000"/>
          <w:sz w:val="22"/>
          <w:szCs w:val="22"/>
          <w:vertAlign w:val="superscript"/>
        </w:rPr>
        <w:footnoteReference w:customMarkFollows="0" w:id="0"/>
      </w:r>
      <w:r w:rsidDel="00000000" w:rsidR="00000000" w:rsidRPr="00000000">
        <w:rPr>
          <w:color w:val="000000"/>
          <w:sz w:val="22"/>
          <w:szCs w:val="22"/>
          <w:rtl w:val="0"/>
        </w:rPr>
        <w:t xml:space="preserve"> establishing the Instrument for Pre-accession Assistance (IPA III). </w:t>
      </w:r>
      <w:r w:rsidDel="00000000" w:rsidR="00000000" w:rsidRPr="00000000">
        <w:rPr>
          <w:color w:val="000000"/>
          <w:rtl w:val="0"/>
        </w:rPr>
        <w:t xml:space="preserve">See</w:t>
      </w:r>
      <w:r w:rsidDel="00000000" w:rsidR="00000000" w:rsidRPr="00000000">
        <w:rPr>
          <w:color w:val="000000"/>
          <w:sz w:val="22"/>
          <w:szCs w:val="22"/>
          <w:rtl w:val="0"/>
        </w:rPr>
        <w:t xml:space="preserve"> Annex A2 of the practical guide.</w:t>
      </w:r>
      <w:r w:rsidDel="00000000" w:rsidR="00000000" w:rsidRPr="00000000">
        <w:rPr>
          <w:rtl w:val="0"/>
        </w:rPr>
      </w:r>
    </w:p>
    <w:p w:rsidR="00000000" w:rsidDel="00000000" w:rsidP="00000000" w:rsidRDefault="00000000" w:rsidRPr="00000000" w14:paraId="00000021">
      <w:pPr>
        <w:widowControl w:val="1"/>
        <w:pBdr>
          <w:top w:color="000000" w:space="0" w:sz="0" w:val="none"/>
          <w:left w:color="000000" w:space="0" w:sz="0" w:val="none"/>
          <w:bottom w:color="000000" w:space="0" w:sz="0" w:val="none"/>
          <w:right w:color="000000" w:space="0" w:sz="0" w:val="none"/>
          <w:between w:color="000000" w:space="0" w:sz="0" w:val="none"/>
        </w:pBdr>
        <w:spacing w:after="0" w:before="0" w:lineRule="auto"/>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w:t>
      </w:r>
      <w:r w:rsidDel="00000000" w:rsidR="00000000" w:rsidRPr="00000000">
        <w:rPr>
          <w:rtl w:val="0"/>
        </w:rPr>
      </w:r>
    </w:p>
    <w:p w:rsidR="00000000" w:rsidDel="00000000" w:rsidP="00000000" w:rsidRDefault="00000000" w:rsidRPr="00000000" w14:paraId="00000022">
      <w:pPr>
        <w:widowControl w:val="1"/>
        <w:pBdr>
          <w:top w:color="000000" w:space="0" w:sz="0" w:val="none"/>
          <w:left w:color="000000" w:space="0" w:sz="0" w:val="none"/>
          <w:bottom w:color="000000" w:space="0" w:sz="0" w:val="none"/>
          <w:right w:color="000000" w:space="0" w:sz="0" w:val="none"/>
          <w:between w:color="000000" w:space="0" w:sz="0" w:val="none"/>
        </w:pBdr>
        <w:spacing w:after="0" w:before="0" w:lineRule="auto"/>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23">
      <w:pPr>
        <w:rPr>
          <w:sz w:val="22"/>
          <w:szCs w:val="22"/>
        </w:rPr>
      </w:pPr>
      <w:bookmarkStart w:colFirst="0" w:colLast="0" w:name="_heading=h.1fob9te" w:id="1"/>
      <w:bookmarkEnd w:id="1"/>
      <w:r w:rsidDel="00000000" w:rsidR="00000000" w:rsidRPr="00000000">
        <w:rPr>
          <w:b w:val="1"/>
          <w:sz w:val="22"/>
          <w:szCs w:val="22"/>
          <w:rtl w:val="0"/>
        </w:rPr>
        <w:t xml:space="preserve">10. </w:t>
        <w:tab/>
        <w:t xml:space="preserve">Number of tenders</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5">
      <w:pPr>
        <w:rPr>
          <w:sz w:val="22"/>
          <w:szCs w:val="22"/>
        </w:rPr>
      </w:pPr>
      <w:bookmarkStart w:colFirst="0" w:colLast="0" w:name="_heading=h.3znysh7" w:id="2"/>
      <w:bookmarkEnd w:id="2"/>
      <w:r w:rsidDel="00000000" w:rsidR="00000000" w:rsidRPr="00000000">
        <w:rPr>
          <w:b w:val="1"/>
          <w:sz w:val="22"/>
          <w:szCs w:val="22"/>
          <w:rtl w:val="0"/>
        </w:rPr>
        <w:t xml:space="preserve">11. </w:t>
        <w:tab/>
        <w:t xml:space="preserve">Grounds for exclusion</w:t>
      </w: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28">
      <w:pPr>
        <w:rPr>
          <w:sz w:val="22"/>
          <w:szCs w:val="22"/>
        </w:rPr>
      </w:pPr>
      <w:r w:rsidDel="00000000" w:rsidR="00000000" w:rsidRPr="00000000">
        <w:rPr>
          <w:b w:val="1"/>
          <w:sz w:val="22"/>
          <w:szCs w:val="22"/>
          <w:rtl w:val="0"/>
        </w:rPr>
        <w:t xml:space="preserve">12. </w:t>
        <w:tab/>
        <w:t xml:space="preserve">Sub-contracting</w:t>
      </w:r>
      <w:r w:rsidDel="00000000" w:rsidR="00000000" w:rsidRPr="00000000">
        <w:rPr>
          <w:rtl w:val="0"/>
        </w:rPr>
      </w:r>
    </w:p>
    <w:p w:rsidR="00000000" w:rsidDel="00000000" w:rsidP="00000000" w:rsidRDefault="00000000" w:rsidRPr="00000000" w14:paraId="00000029">
      <w:pPr>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2A">
      <w:pPr>
        <w:widowControl w:val="1"/>
        <w:spacing w:after="0" w:before="0" w:lineRule="auto"/>
        <w:rPr>
          <w:sz w:val="22"/>
          <w:szCs w:val="22"/>
        </w:rPr>
      </w:pPr>
      <w:r w:rsidDel="00000000" w:rsidR="00000000" w:rsidRPr="00000000">
        <w:rPr>
          <w:rtl w:val="0"/>
        </w:rPr>
      </w:r>
    </w:p>
    <w:p w:rsidR="00000000" w:rsidDel="00000000" w:rsidP="00000000" w:rsidRDefault="00000000" w:rsidRPr="00000000" w14:paraId="0000002B">
      <w:pPr>
        <w:keepNext w:val="1"/>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p>
    <w:p w:rsidR="00000000" w:rsidDel="00000000" w:rsidP="00000000" w:rsidRDefault="00000000" w:rsidRPr="00000000" w14:paraId="0000002C">
      <w:pPr>
        <w:rPr>
          <w:sz w:val="22"/>
          <w:szCs w:val="22"/>
        </w:rPr>
      </w:pPr>
      <w:r w:rsidDel="00000000" w:rsidR="00000000" w:rsidRPr="00000000">
        <w:rPr>
          <w:b w:val="1"/>
          <w:sz w:val="22"/>
          <w:szCs w:val="22"/>
          <w:rtl w:val="0"/>
        </w:rPr>
        <w:t xml:space="preserve">13. </w:t>
        <w:tab/>
        <w:t xml:space="preserve">Provisional commencement date of the contract</w:t>
      </w:r>
      <w:r w:rsidDel="00000000" w:rsidR="00000000" w:rsidRPr="00000000">
        <w:rPr>
          <w:rtl w:val="0"/>
        </w:rPr>
      </w:r>
    </w:p>
    <w:p w:rsidR="00000000" w:rsidDel="00000000" w:rsidP="00000000" w:rsidRDefault="00000000" w:rsidRPr="00000000" w14:paraId="0000002D">
      <w:pPr>
        <w:rPr>
          <w:sz w:val="22"/>
          <w:szCs w:val="22"/>
          <w:highlight w:val="white"/>
        </w:rPr>
      </w:pPr>
      <w:r w:rsidDel="00000000" w:rsidR="00000000" w:rsidRPr="00000000">
        <w:rPr>
          <w:sz w:val="22"/>
          <w:szCs w:val="22"/>
          <w:highlight w:val="white"/>
          <w:rtl w:val="0"/>
        </w:rPr>
        <w:tab/>
        <w:t xml:space="preserve">25.08.2025</w:t>
      </w:r>
    </w:p>
    <w:p w:rsidR="00000000" w:rsidDel="00000000" w:rsidP="00000000" w:rsidRDefault="00000000" w:rsidRPr="00000000" w14:paraId="0000002E">
      <w:pPr>
        <w:rPr>
          <w:sz w:val="22"/>
          <w:szCs w:val="22"/>
          <w:highlight w:val="white"/>
        </w:rPr>
      </w:pPr>
      <w:r w:rsidDel="00000000" w:rsidR="00000000" w:rsidRPr="00000000">
        <w:rPr>
          <w:b w:val="1"/>
          <w:sz w:val="22"/>
          <w:szCs w:val="22"/>
          <w:highlight w:val="white"/>
          <w:rtl w:val="0"/>
        </w:rPr>
        <w:t xml:space="preserve">14. </w:t>
        <w:tab/>
        <w:t xml:space="preserve">Implementation period of the tasks </w:t>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ind w:right="360"/>
        <w:jc w:val="both"/>
        <w:rPr>
          <w:sz w:val="22"/>
          <w:szCs w:val="22"/>
          <w:highlight w:val="white"/>
        </w:rPr>
      </w:pPr>
      <w:r w:rsidDel="00000000" w:rsidR="00000000" w:rsidRPr="00000000">
        <w:rPr>
          <w:sz w:val="22"/>
          <w:szCs w:val="22"/>
          <w:highlight w:val="white"/>
          <w:rtl w:val="0"/>
        </w:rPr>
        <w:tab/>
        <w:t xml:space="preserve">25.08.2025 - 31.08.2027</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ind w:right="360"/>
        <w:jc w:val="both"/>
        <w:rPr>
          <w:sz w:val="22"/>
          <w:szCs w:val="22"/>
          <w:highlight w:val="white"/>
        </w:rPr>
      </w:pPr>
      <w:r w:rsidDel="00000000" w:rsidR="00000000" w:rsidRPr="00000000">
        <w:rPr>
          <w:rtl w:val="0"/>
        </w:rPr>
      </w:r>
    </w:p>
    <w:p w:rsidR="00000000" w:rsidDel="00000000" w:rsidP="00000000" w:rsidRDefault="00000000" w:rsidRPr="00000000" w14:paraId="00000031">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32">
      <w:pPr>
        <w:rPr>
          <w:b w:val="1"/>
          <w:sz w:val="22"/>
          <w:szCs w:val="22"/>
        </w:rPr>
      </w:pPr>
      <w:r w:rsidDel="00000000" w:rsidR="00000000" w:rsidRPr="00000000">
        <w:rPr>
          <w:b w:val="1"/>
          <w:sz w:val="22"/>
          <w:szCs w:val="22"/>
          <w:rtl w:val="0"/>
        </w:rPr>
        <w:t xml:space="preserve">15. </w:t>
        <w:tab/>
        <w:t xml:space="preserve">Selection criteria</w:t>
      </w:r>
    </w:p>
    <w:p w:rsidR="00000000" w:rsidDel="00000000" w:rsidP="00000000" w:rsidRDefault="00000000" w:rsidRPr="00000000" w14:paraId="00000033">
      <w:pPr>
        <w:widowControl w:val="1"/>
        <w:spacing w:after="0" w:before="240" w:lineRule="auto"/>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4">
      <w:pPr>
        <w:widowControl w:val="1"/>
        <w:spacing w:after="0" w:before="240" w:lineRule="auto"/>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5">
      <w:pPr>
        <w:widowControl w:val="1"/>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36">
      <w:pPr>
        <w:widowControl w:val="1"/>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The following selection criteria will be applied to the tenderers. In the case of tenders submitted by a consortium, these selection criteria will be applied to the consortium as a whole if not specified otherwise. The selection criteria will not be applied to natural persons and single-member companies when they are sub-contractors.</w:t>
      </w:r>
    </w:p>
    <w:p w:rsidR="00000000" w:rsidDel="00000000" w:rsidP="00000000" w:rsidRDefault="00000000" w:rsidRPr="00000000" w14:paraId="00000038">
      <w:pPr>
        <w:numPr>
          <w:ilvl w:val="0"/>
          <w:numId w:val="1"/>
        </w:numPr>
        <w:pBdr>
          <w:top w:color="000000" w:space="0" w:sz="0" w:val="none"/>
          <w:left w:color="000000" w:space="0" w:sz="0" w:val="none"/>
          <w:bottom w:color="000000" w:space="0" w:sz="0" w:val="none"/>
          <w:right w:color="000000" w:space="0" w:sz="0" w:val="none"/>
          <w:between w:color="000000" w:space="0" w:sz="0" w:val="none"/>
        </w:pBdr>
        <w:ind w:left="0" w:right="357" w:firstLine="0"/>
        <w:jc w:val="both"/>
        <w:rPr>
          <w:color w:val="000000"/>
          <w:sz w:val="22"/>
          <w:szCs w:val="22"/>
        </w:rPr>
      </w:pPr>
      <w:r w:rsidDel="00000000" w:rsidR="00000000" w:rsidRPr="00000000">
        <w:rPr>
          <w:b w:val="1"/>
          <w:color w:val="000000"/>
          <w:sz w:val="22"/>
          <w:szCs w:val="22"/>
          <w:u w:val="single"/>
          <w:rtl w:val="0"/>
        </w:rPr>
        <w:t xml:space="preserve">Economic and financial capacity of the tenderer</w:t>
      </w:r>
      <w:r w:rsidDel="00000000" w:rsidR="00000000" w:rsidRPr="00000000">
        <w:rPr>
          <w:color w:val="000000"/>
          <w:sz w:val="22"/>
          <w:szCs w:val="22"/>
          <w:rtl w:val="0"/>
        </w:rPr>
        <w:t xml:space="preserve"> (based on item 3 of the tender form).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ind w:right="357"/>
        <w:jc w:val="both"/>
        <w:rPr>
          <w:color w:val="000000"/>
          <w:sz w:val="22"/>
          <w:szCs w:val="22"/>
        </w:rPr>
      </w:pPr>
      <w:r w:rsidDel="00000000" w:rsidR="00000000" w:rsidRPr="00000000">
        <w:rPr>
          <w:color w:val="000000"/>
          <w:sz w:val="22"/>
          <w:szCs w:val="22"/>
          <w:rtl w:val="0"/>
        </w:rPr>
        <w:t xml:space="preserve">The selection criteria for each tenderer are as follows:</w:t>
      </w:r>
    </w:p>
    <w:p w:rsidR="00000000" w:rsidDel="00000000" w:rsidP="00000000" w:rsidRDefault="00000000" w:rsidRPr="00000000" w14:paraId="0000003A">
      <w:pPr>
        <w:numPr>
          <w:ilvl w:val="0"/>
          <w:numId w:val="2"/>
        </w:numPr>
        <w:pBdr>
          <w:top w:color="000000" w:space="0" w:sz="0" w:val="none"/>
          <w:left w:color="000000" w:space="0" w:sz="0" w:val="none"/>
          <w:bottom w:color="000000" w:space="0" w:sz="0" w:val="none"/>
          <w:right w:color="000000" w:space="0" w:sz="0" w:val="none"/>
          <w:between w:color="000000" w:space="0" w:sz="0" w:val="none"/>
        </w:pBdr>
        <w:ind w:left="0" w:right="357" w:firstLine="0"/>
        <w:jc w:val="both"/>
        <w:rPr>
          <w:color w:val="000000"/>
          <w:sz w:val="22"/>
          <w:szCs w:val="22"/>
        </w:rPr>
      </w:pPr>
      <w:r w:rsidDel="00000000" w:rsidR="00000000" w:rsidRPr="00000000">
        <w:rPr>
          <w:color w:val="000000"/>
          <w:sz w:val="22"/>
          <w:szCs w:val="22"/>
          <w:rtl w:val="0"/>
        </w:rPr>
        <w:t xml:space="preserve">will not be economically dependent on the contracting authority in the event that the contract is awarded to it;</w:t>
      </w:r>
    </w:p>
    <w:p w:rsidR="00000000" w:rsidDel="00000000" w:rsidP="00000000" w:rsidRDefault="00000000" w:rsidRPr="00000000" w14:paraId="0000003B">
      <w:pPr>
        <w:numPr>
          <w:ilvl w:val="0"/>
          <w:numId w:val="3"/>
        </w:numPr>
        <w:pBdr>
          <w:top w:color="000000" w:space="0" w:sz="0" w:val="none"/>
          <w:left w:color="000000" w:space="0" w:sz="0" w:val="none"/>
          <w:bottom w:color="000000" w:space="0" w:sz="0" w:val="none"/>
          <w:right w:color="000000" w:space="0" w:sz="0" w:val="none"/>
          <w:between w:color="000000" w:space="0" w:sz="0" w:val="none"/>
        </w:pBdr>
        <w:ind w:left="0" w:right="360" w:firstLine="0"/>
        <w:jc w:val="both"/>
        <w:rPr>
          <w:color w:val="000000"/>
          <w:sz w:val="22"/>
          <w:szCs w:val="22"/>
        </w:rPr>
      </w:pPr>
      <w:r w:rsidDel="00000000" w:rsidR="00000000" w:rsidRPr="00000000">
        <w:rPr>
          <w:color w:val="000000"/>
          <w:sz w:val="22"/>
          <w:szCs w:val="22"/>
          <w:rtl w:val="0"/>
        </w:rPr>
        <w:t xml:space="preserve">has sufficient financial stability to handle the proposed contract;</w:t>
      </w:r>
    </w:p>
    <w:p w:rsidR="00000000" w:rsidDel="00000000" w:rsidP="00000000" w:rsidRDefault="00000000" w:rsidRPr="00000000" w14:paraId="0000003C">
      <w:pPr>
        <w:numPr>
          <w:ilvl w:val="0"/>
          <w:numId w:val="4"/>
        </w:numPr>
        <w:pBdr>
          <w:top w:color="000000" w:space="0" w:sz="0" w:val="none"/>
          <w:left w:color="000000" w:space="0" w:sz="0" w:val="none"/>
          <w:bottom w:color="000000" w:space="0" w:sz="0" w:val="none"/>
          <w:right w:color="000000" w:space="0" w:sz="0" w:val="none"/>
          <w:between w:color="000000" w:space="0" w:sz="0" w:val="none"/>
        </w:pBdr>
        <w:ind w:left="0" w:right="360" w:firstLine="0"/>
        <w:jc w:val="both"/>
        <w:rPr>
          <w:color w:val="000000"/>
          <w:sz w:val="22"/>
          <w:szCs w:val="22"/>
        </w:rPr>
      </w:pPr>
      <w:r w:rsidDel="00000000" w:rsidR="00000000" w:rsidRPr="00000000">
        <w:rPr>
          <w:color w:val="000000"/>
          <w:sz w:val="22"/>
          <w:szCs w:val="22"/>
          <w:rtl w:val="0"/>
        </w:rPr>
        <w:t xml:space="preserve">the average annual turnover of the tenderer for the last three financial years must exceed the annualized maximum budget of the contract i.e. the maximum budget stated in the contract notice divided by the initial contract duration in years, where this exceeds 1 year (minimum annual turnover requested may not exceed 2 times the estimated annual contract value, except in duly justified cases motivated in the tender dossier); and</w:t>
      </w:r>
    </w:p>
    <w:p w:rsidR="00000000" w:rsidDel="00000000" w:rsidP="00000000" w:rsidRDefault="00000000" w:rsidRPr="00000000" w14:paraId="0000003D">
      <w:pPr>
        <w:numPr>
          <w:ilvl w:val="0"/>
          <w:numId w:val="4"/>
        </w:numPr>
        <w:pBdr>
          <w:top w:color="000000" w:space="0" w:sz="0" w:val="none"/>
          <w:left w:color="000000" w:space="0" w:sz="0" w:val="none"/>
          <w:bottom w:color="000000" w:space="0" w:sz="0" w:val="none"/>
          <w:right w:color="000000" w:space="0" w:sz="0" w:val="none"/>
          <w:between w:color="000000" w:space="0" w:sz="0" w:val="none"/>
        </w:pBdr>
        <w:ind w:left="0" w:right="360" w:firstLine="0"/>
        <w:jc w:val="both"/>
        <w:rPr>
          <w:color w:val="000000"/>
          <w:sz w:val="22"/>
          <w:szCs w:val="22"/>
        </w:rPr>
      </w:pPr>
      <w:r w:rsidDel="00000000" w:rsidR="00000000" w:rsidRPr="00000000">
        <w:rPr>
          <w:color w:val="000000"/>
          <w:sz w:val="22"/>
          <w:szCs w:val="22"/>
          <w:rtl w:val="0"/>
        </w:rPr>
        <w:t xml:space="preserve">Current ratio (current assets/current liabilities) in the last year for which accounts have been closed must be at least 1. In case of a consortium this criterion must be fulfilled by each member.</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ind w:right="357"/>
        <w:jc w:val="both"/>
        <w:rPr>
          <w:color w:val="000000"/>
          <w:sz w:val="22"/>
          <w:szCs w:val="22"/>
        </w:rPr>
      </w:pPr>
      <w:r w:rsidDel="00000000" w:rsidR="00000000" w:rsidRPr="00000000">
        <w:rPr>
          <w:b w:val="1"/>
          <w:color w:val="000000"/>
          <w:sz w:val="22"/>
          <w:szCs w:val="22"/>
          <w:u w:val="single"/>
          <w:rtl w:val="0"/>
        </w:rPr>
        <w:t xml:space="preserve">2)</w:t>
      </w:r>
      <w:r w:rsidDel="00000000" w:rsidR="00000000" w:rsidRPr="00000000">
        <w:rPr>
          <w:color w:val="000000"/>
          <w:sz w:val="22"/>
          <w:szCs w:val="22"/>
          <w:u w:val="single"/>
          <w:rtl w:val="0"/>
        </w:rPr>
        <w:tab/>
      </w:r>
      <w:r w:rsidDel="00000000" w:rsidR="00000000" w:rsidRPr="00000000">
        <w:rPr>
          <w:b w:val="1"/>
          <w:color w:val="000000"/>
          <w:sz w:val="22"/>
          <w:szCs w:val="22"/>
          <w:u w:val="single"/>
          <w:rtl w:val="0"/>
        </w:rPr>
        <w:t xml:space="preserve">Professional capacity of the tenderer</w:t>
      </w:r>
      <w:r w:rsidDel="00000000" w:rsidR="00000000" w:rsidRPr="00000000">
        <w:rPr>
          <w:color w:val="000000"/>
          <w:sz w:val="22"/>
          <w:szCs w:val="22"/>
          <w:rtl w:val="0"/>
        </w:rPr>
        <w:t xml:space="preserve"> (based on item 4 of the tender form).</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ind w:right="357"/>
        <w:jc w:val="both"/>
        <w:rPr>
          <w:color w:val="000000"/>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4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00" w:before="100" w:line="240" w:lineRule="auto"/>
        <w:ind w:left="340" w:right="3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Criteria for legal persons: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00" w:line="240" w:lineRule="auto"/>
        <w:ind w:left="840" w:right="34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legal entity provides services relevant to this contract and at least one staff member is currently working for the tenderer on permanent or contract basis in the fields related to this contract</w:t>
      </w:r>
      <w:r w:rsidDel="00000000" w:rsidR="00000000" w:rsidRPr="00000000">
        <w:rPr>
          <w:rtl w:val="0"/>
        </w:rPr>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The objective of this criterion is to examine whether or not the tenderer (i.e. the consortium as a whole, in the case of a tenderer from a consortium)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a registered marketing or communication agency (legal entity)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at least 5 years of experience in strategic communications and campaign management</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proven experience working with civil society organizations or development projects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a portfolio demonstrating successful media and digital marketing campaigns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Possesses multilingual capacity (English is mandatory; regional language skills are an advantage)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Demonstrates a data-driven approach to digital promotion and audience targeting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Shows cultural sensitivity and understanding of inclusive communication practices, especially in working with marginalized communities such as the Roma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proactive and responsive, with the ability to work closely with REDI’s communication team and integrate feedback</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reliable and accountable in managing monthly budgets for paid promotions and producing consistent performance reports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strong organizational and time-management skills, ensuring timely execution of ad campaigns and reporting deliverables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Requested proof documents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CV of the abovementioned staff member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Portfolio of the company</w:t>
      </w:r>
      <w:r w:rsidDel="00000000" w:rsidR="00000000" w:rsidRPr="00000000">
        <w:rPr>
          <w:rtl w:val="0"/>
        </w:rPr>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ind w:left="720" w:right="357" w:firstLine="0"/>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w:t>
      </w:r>
      <w:r w:rsidDel="00000000" w:rsidR="00000000" w:rsidRPr="00000000">
        <w:rPr>
          <w:color w:val="000000"/>
          <w:sz w:val="22"/>
          <w:szCs w:val="22"/>
          <w:rtl w:val="0"/>
        </w:rPr>
        <w:t xml:space="preserve"> (based on items 5 and 6 of the tender form). The reference period which will be taken into account will be the last three years preceding the submission deadline.</w:t>
      </w:r>
      <w:r w:rsidDel="00000000" w:rsidR="00000000" w:rsidRPr="00000000">
        <w:rPr>
          <w:rtl w:val="0"/>
        </w:rPr>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left="720" w:right="360" w:firstLine="0"/>
        <w:jc w:val="both"/>
        <w:rPr>
          <w:color w:val="000000"/>
          <w:sz w:val="22"/>
          <w:szCs w:val="22"/>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00" w:before="100" w:line="240" w:lineRule="auto"/>
        <w:ind w:left="1440" w:right="34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Requested proof documents for natural and legal persons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100" w:line="240" w:lineRule="auto"/>
        <w:ind w:left="1260" w:right="36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statement issued by the client with required details and/ or contract concluded for such services.</w:t>
      </w:r>
      <w:r w:rsidDel="00000000" w:rsidR="00000000" w:rsidRPr="00000000">
        <w:rPr>
          <w:rtl w:val="0"/>
        </w:rPr>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ind w:left="720" w:right="360" w:firstLine="0"/>
        <w:jc w:val="both"/>
        <w:rPr>
          <w:color w:val="000000"/>
          <w:sz w:val="22"/>
          <w:szCs w:val="22"/>
        </w:rPr>
      </w:pPr>
      <w:r w:rsidDel="00000000" w:rsidR="00000000" w:rsidRPr="00000000">
        <w:rPr>
          <w:color w:val="000000"/>
          <w:sz w:val="22"/>
          <w:szCs w:val="22"/>
          <w:rtl w:val="0"/>
        </w:rPr>
        <w:t xml:space="preserve">Previous experience which would have led to breach of contract and termination by a contracting authority shall not be used as reference. </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ind w:right="360"/>
        <w:jc w:val="both"/>
        <w:rPr>
          <w:sz w:val="22"/>
          <w:szCs w:val="22"/>
        </w:rPr>
      </w:pPr>
      <w:r w:rsidDel="00000000" w:rsidR="00000000" w:rsidRPr="00000000">
        <w:rPr>
          <w:rtl w:val="0"/>
        </w:rPr>
      </w:r>
    </w:p>
    <w:p w:rsidR="00000000" w:rsidDel="00000000" w:rsidP="00000000" w:rsidRDefault="00000000" w:rsidRPr="00000000" w14:paraId="00000056">
      <w:pPr>
        <w:rPr>
          <w:sz w:val="22"/>
          <w:szCs w:val="22"/>
        </w:rPr>
      </w:pPr>
      <w:r w:rsidDel="00000000" w:rsidR="00000000" w:rsidRPr="00000000">
        <w:rPr>
          <w:b w:val="1"/>
          <w:sz w:val="22"/>
          <w:szCs w:val="22"/>
          <w:rtl w:val="0"/>
        </w:rPr>
        <w:t xml:space="preserve">16. </w:t>
        <w:tab/>
        <w:t xml:space="preserve">Award criteria</w:t>
      </w:r>
      <w:r w:rsidDel="00000000" w:rsidR="00000000" w:rsidRPr="00000000">
        <w:rPr>
          <w:rtl w:val="0"/>
        </w:rPr>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ind w:right="1"/>
        <w:jc w:val="both"/>
        <w:rPr>
          <w:color w:val="000000"/>
          <w:sz w:val="22"/>
          <w:szCs w:val="22"/>
        </w:rPr>
      </w:pPr>
      <w:r w:rsidDel="00000000" w:rsidR="00000000" w:rsidRPr="00000000">
        <w:rPr>
          <w:sz w:val="22"/>
          <w:szCs w:val="22"/>
          <w:rtl w:val="0"/>
        </w:rPr>
        <w:t xml:space="preserve">Price.</w:t>
      </w:r>
      <w:r w:rsidDel="00000000" w:rsidR="00000000" w:rsidRPr="00000000">
        <w:rPr>
          <w:color w:val="000000"/>
          <w:sz w:val="22"/>
          <w:szCs w:val="22"/>
          <w:rtl w:val="0"/>
        </w:rPr>
        <w:t xml:space="preserve"> </w:t>
      </w:r>
    </w:p>
    <w:p w:rsidR="00000000" w:rsidDel="00000000" w:rsidP="00000000" w:rsidRDefault="00000000" w:rsidRPr="00000000" w14:paraId="00000058">
      <w:pPr>
        <w:rPr>
          <w:sz w:val="22"/>
          <w:szCs w:val="22"/>
        </w:rPr>
      </w:pPr>
      <w:r w:rsidDel="00000000" w:rsidR="00000000" w:rsidRPr="00000000">
        <w:rPr>
          <w:rtl w:val="0"/>
        </w:rPr>
      </w:r>
    </w:p>
    <w:p w:rsidR="00000000" w:rsidDel="00000000" w:rsidP="00000000" w:rsidRDefault="00000000" w:rsidRPr="00000000" w14:paraId="00000059">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5A">
      <w:pPr>
        <w:keepNext w:val="1"/>
        <w:rPr>
          <w:sz w:val="22"/>
          <w:szCs w:val="22"/>
        </w:rPr>
      </w:pPr>
      <w:r w:rsidDel="00000000" w:rsidR="00000000" w:rsidRPr="00000000">
        <w:rPr>
          <w:b w:val="1"/>
          <w:sz w:val="22"/>
          <w:szCs w:val="22"/>
          <w:rtl w:val="0"/>
        </w:rPr>
        <w:t xml:space="preserve">17. </w:t>
        <w:tab/>
        <w:t xml:space="preserve">Deadline for submission of tenders</w:t>
      </w:r>
      <w:r w:rsidDel="00000000" w:rsidR="00000000" w:rsidRPr="00000000">
        <w:rPr>
          <w:rtl w:val="0"/>
        </w:rPr>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ind w:right="360"/>
        <w:jc w:val="both"/>
        <w:rPr>
          <w:b w:val="1"/>
          <w:i w:val="1"/>
          <w:highlight w:val="white"/>
        </w:rPr>
      </w:pPr>
      <w:bookmarkStart w:colFirst="0" w:colLast="0" w:name="_heading=h.2et92p0" w:id="3"/>
      <w:bookmarkEnd w:id="3"/>
      <w:r w:rsidDel="00000000" w:rsidR="00000000" w:rsidRPr="00000000">
        <w:rPr>
          <w:color w:val="000000"/>
          <w:sz w:val="22"/>
          <w:szCs w:val="22"/>
          <w:rtl w:val="0"/>
        </w:rPr>
        <w:t xml:space="preserve">The deadline for submission of tenders is </w:t>
      </w:r>
      <w:r w:rsidDel="00000000" w:rsidR="00000000" w:rsidRPr="00000000">
        <w:rPr>
          <w:sz w:val="22"/>
          <w:szCs w:val="22"/>
          <w:highlight w:val="white"/>
          <w:rtl w:val="0"/>
        </w:rPr>
        <w:t xml:space="preserve">30 days from the date of publishing. If the deadline is a non-working day, the period will be extended until the next working day.</w:t>
      </w:r>
      <w:r w:rsidDel="00000000" w:rsidR="00000000" w:rsidRPr="00000000">
        <w:rPr>
          <w:rtl w:val="0"/>
        </w:rPr>
      </w:r>
    </w:p>
    <w:p w:rsidR="00000000" w:rsidDel="00000000" w:rsidP="00000000" w:rsidRDefault="00000000" w:rsidRPr="00000000" w14:paraId="0000005C">
      <w:pPr>
        <w:rPr>
          <w:sz w:val="22"/>
          <w:szCs w:val="22"/>
        </w:rPr>
      </w:pPr>
      <w:r w:rsidDel="00000000" w:rsidR="00000000" w:rsidRPr="00000000">
        <w:rPr>
          <w:b w:val="1"/>
          <w:sz w:val="22"/>
          <w:szCs w:val="22"/>
          <w:rtl w:val="0"/>
        </w:rPr>
        <w:t xml:space="preserve">18. </w:t>
        <w:tab/>
        <w:t xml:space="preserve">Tender format and details to be provided</w:t>
      </w:r>
      <w:r w:rsidDel="00000000" w:rsidR="00000000" w:rsidRPr="00000000">
        <w:rPr>
          <w:rtl w:val="0"/>
        </w:rPr>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Tenders must be submitted using the standard tender form. </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hyperlink r:id="rId8">
        <w:r w:rsidDel="00000000" w:rsidR="00000000" w:rsidRPr="00000000">
          <w:rPr>
            <w:color w:val="0000ff"/>
            <w:sz w:val="22"/>
            <w:szCs w:val="22"/>
            <w:u w:val="single"/>
            <w:rtl w:val="0"/>
          </w:rPr>
          <w:t xml:space="preserve">https://wikis.ec.europa.eu/download/attachments/152798822/a14a_declaration_honour_procurement_en.docx?version=2&amp;modificationDate=1737021464378&amp;api=v2</w:t>
        </w:r>
      </w:hyperlink>
      <w:r w:rsidDel="00000000" w:rsidR="00000000" w:rsidRPr="00000000">
        <w:rPr>
          <w:rtl w:val="0"/>
        </w:rPr>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61">
      <w:pPr>
        <w:rPr>
          <w:sz w:val="22"/>
          <w:szCs w:val="22"/>
        </w:rPr>
      </w:pPr>
      <w:r w:rsidDel="00000000" w:rsidR="00000000" w:rsidRPr="00000000">
        <w:rPr>
          <w:b w:val="1"/>
          <w:sz w:val="22"/>
          <w:szCs w:val="22"/>
          <w:rtl w:val="0"/>
        </w:rPr>
        <w:t xml:space="preserve">19. </w:t>
        <w:tab/>
        <w:t xml:space="preserve">How tenders may be submitted</w:t>
      </w:r>
      <w:r w:rsidDel="00000000" w:rsidR="00000000" w:rsidRPr="00000000">
        <w:rPr>
          <w:rtl w:val="0"/>
        </w:rPr>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10 of the instructions to tenderers.  </w:t>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By submitting a </w:t>
      </w:r>
      <w:r w:rsidDel="00000000" w:rsidR="00000000" w:rsidRPr="00000000">
        <w:rPr>
          <w:sz w:val="22"/>
          <w:szCs w:val="22"/>
          <w:rtl w:val="0"/>
        </w:rPr>
        <w:t xml:space="preserve">tender, the tenderer</w:t>
      </w:r>
      <w:r w:rsidDel="00000000" w:rsidR="00000000" w:rsidRPr="00000000">
        <w:rPr>
          <w:color w:val="000000"/>
          <w:sz w:val="22"/>
          <w:szCs w:val="22"/>
          <w:rtl w:val="0"/>
        </w:rPr>
        <w:t xml:space="preserve"> accepts to receive notification of the outcome of the procedure by electronic means.</w:t>
      </w:r>
    </w:p>
    <w:p w:rsidR="00000000" w:rsidDel="00000000" w:rsidP="00000000" w:rsidRDefault="00000000" w:rsidRPr="00000000" w14:paraId="00000065">
      <w:pPr>
        <w:rPr>
          <w:b w:val="1"/>
          <w:sz w:val="22"/>
          <w:szCs w:val="22"/>
        </w:rPr>
      </w:pPr>
      <w:r w:rsidDel="00000000" w:rsidR="00000000" w:rsidRPr="00000000">
        <w:rPr>
          <w:b w:val="1"/>
          <w:sz w:val="22"/>
          <w:szCs w:val="22"/>
          <w:rtl w:val="0"/>
        </w:rPr>
        <w:t xml:space="preserve">20.</w:t>
        <w:tab/>
        <w:t xml:space="preserve">Alteration or withdrawal of tenders</w:t>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15 of the instructions to tenderers. </w:t>
      </w:r>
    </w:p>
    <w:p w:rsidR="00000000" w:rsidDel="00000000" w:rsidP="00000000" w:rsidRDefault="00000000" w:rsidRPr="00000000" w14:paraId="00000068">
      <w:pPr>
        <w:keepNext w:val="1"/>
        <w:rPr>
          <w:sz w:val="22"/>
          <w:szCs w:val="22"/>
        </w:rPr>
      </w:pPr>
      <w:r w:rsidDel="00000000" w:rsidR="00000000" w:rsidRPr="00000000">
        <w:rPr>
          <w:b w:val="1"/>
          <w:sz w:val="22"/>
          <w:szCs w:val="22"/>
          <w:rtl w:val="0"/>
        </w:rPr>
        <w:t xml:space="preserve">21. </w:t>
        <w:tab/>
        <w:t xml:space="preserve">Operational language</w:t>
      </w:r>
      <w:r w:rsidDel="00000000" w:rsidR="00000000" w:rsidRPr="00000000">
        <w:rPr>
          <w:rtl w:val="0"/>
        </w:rPr>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ind w:right="36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ind w:right="360"/>
        <w:jc w:val="both"/>
        <w:rPr>
          <w:b w:val="1"/>
          <w:color w:val="000000"/>
          <w:sz w:val="22"/>
          <w:szCs w:val="22"/>
        </w:rPr>
      </w:pPr>
      <w:r w:rsidDel="00000000" w:rsidR="00000000" w:rsidRPr="00000000">
        <w:rPr>
          <w:b w:val="1"/>
          <w:color w:val="000000"/>
          <w:sz w:val="22"/>
          <w:szCs w:val="22"/>
          <w:rtl w:val="0"/>
        </w:rPr>
        <w:t xml:space="preserve">2</w:t>
      </w:r>
      <w:r w:rsidDel="00000000" w:rsidR="00000000" w:rsidRPr="00000000">
        <w:rPr>
          <w:b w:val="1"/>
          <w:sz w:val="22"/>
          <w:szCs w:val="22"/>
          <w:rtl w:val="0"/>
        </w:rPr>
        <w:t xml:space="preserve">2</w:t>
      </w:r>
      <w:r w:rsidDel="00000000" w:rsidR="00000000" w:rsidRPr="00000000">
        <w:rPr>
          <w:b w:val="1"/>
          <w:color w:val="000000"/>
          <w:sz w:val="22"/>
          <w:szCs w:val="22"/>
          <w:rtl w:val="0"/>
        </w:rPr>
        <w:t xml:space="preserve">. Additional information</w:t>
      </w:r>
    </w:p>
    <w:p w:rsidR="00000000" w:rsidDel="00000000" w:rsidP="00000000" w:rsidRDefault="00000000" w:rsidRPr="00000000" w14:paraId="0000006B">
      <w:pPr>
        <w:widowControl w:val="1"/>
        <w:spacing w:after="0" w:lineRule="auto"/>
        <w:ind w:right="360"/>
        <w:jc w:val="both"/>
        <w:rPr>
          <w:sz w:val="22"/>
          <w:szCs w:val="22"/>
        </w:rPr>
      </w:pPr>
      <w:bookmarkStart w:colFirst="0" w:colLast="0" w:name="_heading=h.di6rf4rusr2v" w:id="4"/>
      <w:bookmarkEnd w:id="4"/>
      <w:r w:rsidDel="00000000" w:rsidR="00000000" w:rsidRPr="00000000">
        <w:rPr>
          <w:sz w:val="22"/>
          <w:szCs w:val="22"/>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InfoEuro exchange rate of the month and year corresponding to the deadline for submitting applications, which can be found at the following address: </w:t>
      </w:r>
      <w:hyperlink r:id="rId9">
        <w:r w:rsidDel="00000000" w:rsidR="00000000" w:rsidRPr="00000000">
          <w:rPr>
            <w:color w:val="0000ff"/>
            <w:sz w:val="22"/>
            <w:szCs w:val="22"/>
            <w:u w:val="single"/>
            <w:rtl w:val="0"/>
          </w:rPr>
          <w:t xml:space="preserve">http://ec.europa.eu/budget/graphs/inforeuro.html</w:t>
        </w:r>
      </w:hyperlink>
      <w:r w:rsidDel="00000000" w:rsidR="00000000" w:rsidRPr="00000000">
        <w:rPr>
          <w:sz w:val="22"/>
          <w:szCs w:val="22"/>
          <w:rtl w:val="0"/>
        </w:rPr>
        <w:t xml:space="preserve">.</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ind w:right="360"/>
        <w:jc w:val="both"/>
        <w:rPr>
          <w:color w:val="000000"/>
          <w:sz w:val="22"/>
          <w:szCs w:val="22"/>
        </w:rPr>
      </w:pPr>
      <w:r w:rsidDel="00000000" w:rsidR="00000000" w:rsidRPr="00000000">
        <w:rPr>
          <w:rtl w:val="0"/>
        </w:rPr>
      </w:r>
    </w:p>
    <w:sectPr>
      <w:footerReference r:id="rId10" w:type="default"/>
      <w:pgSz w:h="15840" w:w="12240" w:orient="portrait"/>
      <w:pgMar w:bottom="1276" w:top="709" w:left="1134"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c2_contractnotice_simp_neg_en.doc</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pacing w:after="0" w:before="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Regulation (EU) 2021/1529 of the European Parliament and of the Council of 15 September 2021 establishing the Instrument for Pre-Accession assistance (IPA III); OJ L 330, 20.9.2021, p. 1–26.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17" w:hanging="360"/>
      </w:pPr>
      <w:rPr>
        <w:b w:val="1"/>
        <w:u w:val="singl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840" w:hanging="420"/>
      </w:pPr>
      <w:rPr>
        <w:rFonts w:ascii="Noto Sans Symbols" w:cs="Noto Sans Symbols" w:eastAsia="Noto Sans Symbols" w:hAnsi="Noto Sans Symbols"/>
      </w:rPr>
    </w:lvl>
    <w:lvl w:ilvl="1">
      <w:start w:val="1"/>
      <w:numFmt w:val="bullet"/>
      <w:lvlText w:val="■"/>
      <w:lvlJc w:val="left"/>
      <w:pPr>
        <w:ind w:left="1260" w:hanging="420"/>
      </w:pPr>
      <w:rPr>
        <w:rFonts w:ascii="Noto Sans Symbols" w:cs="Noto Sans Symbols" w:eastAsia="Noto Sans Symbols" w:hAnsi="Noto Sans Symbols"/>
      </w:rPr>
    </w:lvl>
    <w:lvl w:ilvl="2">
      <w:start w:val="1"/>
      <w:numFmt w:val="bullet"/>
      <w:lvlText w:val="◆"/>
      <w:lvlJc w:val="left"/>
      <w:pPr>
        <w:ind w:left="1680" w:hanging="420"/>
      </w:pPr>
      <w:rPr>
        <w:rFonts w:ascii="Noto Sans Symbols" w:cs="Noto Sans Symbols" w:eastAsia="Noto Sans Symbols" w:hAnsi="Noto Sans Symbols"/>
      </w:rPr>
    </w:lvl>
    <w:lvl w:ilvl="3">
      <w:start w:val="1"/>
      <w:numFmt w:val="bullet"/>
      <w:lvlText w:val="●"/>
      <w:lvlJc w:val="left"/>
      <w:pPr>
        <w:ind w:left="2100" w:hanging="420"/>
      </w:pPr>
      <w:rPr>
        <w:rFonts w:ascii="Noto Sans Symbols" w:cs="Noto Sans Symbols" w:eastAsia="Noto Sans Symbols" w:hAnsi="Noto Sans Symbols"/>
      </w:rPr>
    </w:lvl>
    <w:lvl w:ilvl="4">
      <w:start w:val="1"/>
      <w:numFmt w:val="bullet"/>
      <w:lvlText w:val="■"/>
      <w:lvlJc w:val="left"/>
      <w:pPr>
        <w:ind w:left="2520" w:hanging="420"/>
      </w:pPr>
      <w:rPr>
        <w:rFonts w:ascii="Noto Sans Symbols" w:cs="Noto Sans Symbols" w:eastAsia="Noto Sans Symbols" w:hAnsi="Noto Sans Symbols"/>
      </w:rPr>
    </w:lvl>
    <w:lvl w:ilvl="5">
      <w:start w:val="1"/>
      <w:numFmt w:val="bullet"/>
      <w:lvlText w:val="◆"/>
      <w:lvlJc w:val="left"/>
      <w:pPr>
        <w:ind w:left="2940" w:hanging="420"/>
      </w:pPr>
      <w:rPr>
        <w:rFonts w:ascii="Noto Sans Symbols" w:cs="Noto Sans Symbols" w:eastAsia="Noto Sans Symbols" w:hAnsi="Noto Sans Symbols"/>
      </w:rPr>
    </w:lvl>
    <w:lvl w:ilvl="6">
      <w:start w:val="1"/>
      <w:numFmt w:val="bullet"/>
      <w:lvlText w:val="●"/>
      <w:lvlJc w:val="left"/>
      <w:pPr>
        <w:ind w:left="3360" w:hanging="420"/>
      </w:pPr>
      <w:rPr>
        <w:rFonts w:ascii="Noto Sans Symbols" w:cs="Noto Sans Symbols" w:eastAsia="Noto Sans Symbols" w:hAnsi="Noto Sans Symbols"/>
      </w:rPr>
    </w:lvl>
    <w:lvl w:ilvl="7">
      <w:start w:val="1"/>
      <w:numFmt w:val="bullet"/>
      <w:lvlText w:val="■"/>
      <w:lvlJc w:val="left"/>
      <w:pPr>
        <w:ind w:left="3780" w:hanging="420"/>
      </w:pPr>
      <w:rPr>
        <w:rFonts w:ascii="Noto Sans Symbols" w:cs="Noto Sans Symbols" w:eastAsia="Noto Sans Symbols" w:hAnsi="Noto Sans Symbols"/>
      </w:rPr>
    </w:lvl>
    <w:lvl w:ilvl="8">
      <w:start w:val="1"/>
      <w:numFmt w:val="bullet"/>
      <w:lvlText w:val="◆"/>
      <w:lvlJc w:val="left"/>
      <w:pPr>
        <w:ind w:left="4200" w:hanging="420"/>
      </w:pPr>
      <w:rPr>
        <w:rFonts w:ascii="Noto Sans Symbols" w:cs="Noto Sans Symbols" w:eastAsia="Noto Sans Symbols" w:hAnsi="Noto Sans Symbols"/>
      </w:rPr>
    </w:lvl>
  </w:abstractNum>
  <w:abstractNum w:abstractNumId="6">
    <w:lvl w:ilvl="0">
      <w:start w:val="1"/>
      <w:numFmt w:val="bullet"/>
      <w:lvlText w:val="●"/>
      <w:lvlJc w:val="left"/>
      <w:pPr>
        <w:ind w:left="126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8" w:default="1">
    <w:name w:val="Default Paragraph Font"/>
    <w:uiPriority w:val="1"/>
    <w:semiHidden w:val="1"/>
    <w:unhideWhenUsed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paragraph" w:styleId="10">
    <w:name w:val="Balloon Text"/>
    <w:basedOn w:val="1"/>
    <w:link w:val="53"/>
    <w:uiPriority w:val="0"/>
    <w:pPr>
      <w:spacing w:after="0" w:before="0"/>
    </w:pPr>
    <w:rPr>
      <w:rFonts w:ascii="Tahoma" w:cs="Tahoma" w:hAnsi="Tahoma"/>
      <w:sz w:val="16"/>
      <w:szCs w:val="16"/>
    </w:rPr>
  </w:style>
  <w:style w:type="paragraph" w:styleId="11">
    <w:name w:val="Body Text 3"/>
    <w:basedOn w:val="1"/>
    <w:uiPriority w:val="0"/>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lang w:val="en-GB"/>
    </w:rPr>
  </w:style>
  <w:style w:type="character" w:styleId="12">
    <w:name w:val="annotation reference"/>
    <w:uiPriority w:val="0"/>
    <w:rPr>
      <w:sz w:val="16"/>
      <w:szCs w:val="16"/>
    </w:rPr>
  </w:style>
  <w:style w:type="paragraph" w:styleId="13">
    <w:name w:val="annotation text"/>
    <w:basedOn w:val="1"/>
    <w:link w:val="54"/>
    <w:uiPriority w:val="0"/>
    <w:rPr>
      <w:sz w:val="20"/>
    </w:rPr>
  </w:style>
  <w:style w:type="paragraph" w:styleId="14">
    <w:name w:val="annotation subject"/>
    <w:basedOn w:val="13"/>
    <w:next w:val="13"/>
    <w:link w:val="55"/>
    <w:uiPriority w:val="0"/>
    <w:rPr>
      <w:b w:val="1"/>
      <w:bCs w:val="1"/>
    </w:rPr>
  </w:style>
  <w:style w:type="paragraph" w:styleId="15">
    <w:name w:val="Document Map"/>
    <w:basedOn w:val="1"/>
    <w:uiPriority w:val="0"/>
    <w:semiHidden w:val="1"/>
    <w:pPr>
      <w:shd w:color="auto" w:fill="000080" w:val="clear"/>
    </w:pPr>
    <w:rPr>
      <w:rFonts w:ascii="Tahoma" w:hAnsi="Tahoma"/>
    </w:rPr>
  </w:style>
  <w:style w:type="character" w:styleId="16">
    <w:name w:val="Emphasis"/>
    <w:uiPriority w:val="20"/>
    <w:qFormat w:val="1"/>
    <w:rPr>
      <w:i w:val="1"/>
    </w:rPr>
  </w:style>
  <w:style w:type="character" w:styleId="17">
    <w:name w:val="FollowedHyperlink"/>
    <w:uiPriority w:val="0"/>
    <w:rPr>
      <w:color w:val="800080"/>
      <w:u w:val="single"/>
    </w:rPr>
  </w:style>
  <w:style w:type="paragraph" w:styleId="18">
    <w:name w:val="footer"/>
    <w:basedOn w:val="1"/>
    <w:link w:val="52"/>
    <w:uiPriority w:val="0"/>
    <w:pPr>
      <w:tabs>
        <w:tab w:val="center" w:pos="4320"/>
        <w:tab w:val="right" w:pos="8640"/>
      </w:tabs>
    </w:pPr>
  </w:style>
  <w:style w:type="character" w:styleId="19">
    <w:name w:val="footnote reference"/>
    <w:uiPriority w:val="99"/>
    <w:qFormat w:val="1"/>
    <w:rPr>
      <w:vertAlign w:val="superscript"/>
    </w:rPr>
  </w:style>
  <w:style w:type="paragraph" w:styleId="20">
    <w:name w:val="footnote text"/>
    <w:basedOn w:val="1"/>
    <w:link w:val="58"/>
    <w:uiPriority w:val="99"/>
    <w:rPr>
      <w:sz w:val="20"/>
    </w:rPr>
  </w:style>
  <w:style w:type="paragraph" w:styleId="21">
    <w:name w:val="header"/>
    <w:basedOn w:val="1"/>
    <w:uiPriority w:val="0"/>
    <w:pPr>
      <w:tabs>
        <w:tab w:val="center" w:pos="4320"/>
        <w:tab w:val="right" w:pos="8640"/>
      </w:tabs>
    </w:pPr>
  </w:style>
  <w:style w:type="character" w:styleId="22">
    <w:name w:val="Hyperlink"/>
    <w:uiPriority w:val="0"/>
    <w:qFormat w:val="1"/>
    <w:rPr>
      <w:color w:val="0000ff"/>
      <w:u w:val="single"/>
    </w:rPr>
  </w:style>
  <w:style w:type="paragraph" w:styleId="23">
    <w:name w:val="Normal (Web)"/>
    <w:uiPriority w:val="99"/>
    <w:semiHidden w:val="1"/>
    <w:unhideWhenUsed w:val="1"/>
    <w:pPr>
      <w:spacing w:after="0" w:afterAutospacing="1" w:before="0" w:beforeAutospacing="1"/>
      <w:ind w:left="0" w:right="0"/>
      <w:jc w:val="left"/>
    </w:pPr>
    <w:rPr>
      <w:kern w:val="0"/>
      <w:sz w:val="24"/>
      <w:szCs w:val="24"/>
      <w:lang w:bidi="ar" w:eastAsia="zh-CN" w:val="en-US"/>
    </w:rPr>
  </w:style>
  <w:style w:type="character" w:styleId="24">
    <w:name w:val="page number"/>
    <w:basedOn w:val="8"/>
    <w:uiPriority w:val="0"/>
  </w:style>
  <w:style w:type="character" w:styleId="25">
    <w:name w:val="Strong"/>
    <w:uiPriority w:val="0"/>
    <w:qFormat w:val="1"/>
    <w:rPr>
      <w:b w:val="1"/>
    </w:rPr>
  </w:style>
  <w:style w:type="table" w:styleId="28" w:customStyle="1">
    <w:name w:val="Table Normal1"/>
    <w:uiPriority w:val="0"/>
    <w:tblPr>
      <w:tblCellMar>
        <w:top w:w="0.0" w:type="dxa"/>
        <w:left w:w="0.0" w:type="dxa"/>
        <w:bottom w:w="0.0" w:type="dxa"/>
        <w:right w:w="0.0" w:type="dxa"/>
      </w:tblCellMar>
    </w:tblPr>
  </w:style>
  <w:style w:type="table" w:styleId="29" w:customStyle="1">
    <w:name w:val="Table Normal2"/>
    <w:uiPriority w:val="0"/>
    <w:tblPr>
      <w:tblCellMar>
        <w:top w:w="0.0" w:type="dxa"/>
        <w:left w:w="0.0" w:type="dxa"/>
        <w:bottom w:w="0.0" w:type="dxa"/>
        <w:right w:w="0.0" w:type="dxa"/>
      </w:tblCellMar>
    </w:tblPr>
  </w:style>
  <w:style w:type="paragraph" w:styleId="30" w:customStyle="1">
    <w:name w:val="Definition Term"/>
    <w:basedOn w:val="1"/>
    <w:next w:val="31"/>
    <w:uiPriority w:val="0"/>
    <w:pPr>
      <w:spacing w:after="0" w:before="0"/>
    </w:pPr>
  </w:style>
  <w:style w:type="paragraph" w:styleId="31" w:customStyle="1">
    <w:name w:val="Definition List"/>
    <w:basedOn w:val="1"/>
    <w:next w:val="30"/>
    <w:uiPriority w:val="0"/>
    <w:qFormat w:val="1"/>
    <w:pPr>
      <w:spacing w:after="0" w:before="0"/>
      <w:ind w:left="360"/>
    </w:pPr>
  </w:style>
  <w:style w:type="character" w:styleId="32" w:customStyle="1">
    <w:name w:val="Definition"/>
    <w:uiPriority w:val="0"/>
    <w:rPr>
      <w:i w:val="1"/>
    </w:rPr>
  </w:style>
  <w:style w:type="paragraph" w:styleId="33" w:customStyle="1">
    <w:name w:val="H1"/>
    <w:basedOn w:val="1"/>
    <w:next w:val="1"/>
    <w:uiPriority w:val="0"/>
    <w:pPr>
      <w:keepNext w:val="1"/>
      <w:outlineLvl w:val="1"/>
    </w:pPr>
    <w:rPr>
      <w:b w:val="1"/>
      <w:kern w:val="36"/>
      <w:sz w:val="48"/>
    </w:rPr>
  </w:style>
  <w:style w:type="paragraph" w:styleId="34" w:customStyle="1">
    <w:name w:val="H2"/>
    <w:basedOn w:val="1"/>
    <w:next w:val="1"/>
    <w:uiPriority w:val="0"/>
    <w:qFormat w:val="1"/>
    <w:pPr>
      <w:keepNext w:val="1"/>
      <w:outlineLvl w:val="2"/>
    </w:pPr>
    <w:rPr>
      <w:b w:val="1"/>
      <w:sz w:val="36"/>
    </w:rPr>
  </w:style>
  <w:style w:type="paragraph" w:styleId="35" w:customStyle="1">
    <w:name w:val="H3"/>
    <w:basedOn w:val="1"/>
    <w:next w:val="1"/>
    <w:uiPriority w:val="0"/>
    <w:pPr>
      <w:keepNext w:val="1"/>
      <w:outlineLvl w:val="3"/>
    </w:pPr>
    <w:rPr>
      <w:b w:val="1"/>
      <w:sz w:val="28"/>
    </w:rPr>
  </w:style>
  <w:style w:type="paragraph" w:styleId="36" w:customStyle="1">
    <w:name w:val="H4"/>
    <w:basedOn w:val="1"/>
    <w:next w:val="1"/>
    <w:uiPriority w:val="0"/>
    <w:qFormat w:val="1"/>
    <w:pPr>
      <w:keepNext w:val="1"/>
      <w:outlineLvl w:val="4"/>
    </w:pPr>
    <w:rPr>
      <w:b w:val="1"/>
    </w:rPr>
  </w:style>
  <w:style w:type="paragraph" w:styleId="37" w:customStyle="1">
    <w:name w:val="H5"/>
    <w:basedOn w:val="1"/>
    <w:next w:val="1"/>
    <w:uiPriority w:val="0"/>
    <w:qFormat w:val="1"/>
    <w:pPr>
      <w:keepNext w:val="1"/>
      <w:outlineLvl w:val="5"/>
    </w:pPr>
    <w:rPr>
      <w:b w:val="1"/>
      <w:sz w:val="20"/>
    </w:rPr>
  </w:style>
  <w:style w:type="paragraph" w:styleId="38" w:customStyle="1">
    <w:name w:val="H6"/>
    <w:basedOn w:val="1"/>
    <w:next w:val="1"/>
    <w:uiPriority w:val="0"/>
    <w:qFormat w:val="1"/>
    <w:pPr>
      <w:keepNext w:val="1"/>
      <w:outlineLvl w:val="6"/>
    </w:pPr>
    <w:rPr>
      <w:b w:val="1"/>
      <w:sz w:val="16"/>
    </w:rPr>
  </w:style>
  <w:style w:type="paragraph" w:styleId="39" w:customStyle="1">
    <w:name w:val="Address"/>
    <w:basedOn w:val="1"/>
    <w:next w:val="1"/>
    <w:uiPriority w:val="0"/>
    <w:qFormat w:val="1"/>
    <w:pPr>
      <w:spacing w:after="0" w:before="0"/>
    </w:pPr>
    <w:rPr>
      <w:i w:val="1"/>
    </w:rPr>
  </w:style>
  <w:style w:type="paragraph" w:styleId="40" w:customStyle="1">
    <w:name w:val="Blockquote"/>
    <w:basedOn w:val="1"/>
    <w:uiPriority w:val="0"/>
    <w:qFormat w:val="1"/>
    <w:pPr>
      <w:ind w:left="360" w:right="360"/>
    </w:pPr>
  </w:style>
  <w:style w:type="character" w:styleId="41" w:customStyle="1">
    <w:name w:val="CITE"/>
    <w:uiPriority w:val="0"/>
    <w:qFormat w:val="1"/>
    <w:rPr>
      <w:i w:val="1"/>
    </w:rPr>
  </w:style>
  <w:style w:type="character" w:styleId="42" w:customStyle="1">
    <w:name w:val="CODE"/>
    <w:uiPriority w:val="0"/>
    <w:qFormat w:val="1"/>
    <w:rPr>
      <w:rFonts w:ascii="Courier New" w:hAnsi="Courier New"/>
      <w:sz w:val="20"/>
    </w:rPr>
  </w:style>
  <w:style w:type="character" w:styleId="43" w:customStyle="1">
    <w:name w:val="Keyboard"/>
    <w:uiPriority w:val="0"/>
    <w:qFormat w:val="1"/>
    <w:rPr>
      <w:rFonts w:ascii="Courier New" w:hAnsi="Courier New"/>
      <w:b w:val="1"/>
      <w:sz w:val="20"/>
    </w:rPr>
  </w:style>
  <w:style w:type="paragraph" w:styleId="44" w:customStyle="1">
    <w:name w:val="Preformatted"/>
    <w:basedOn w:val="1"/>
    <w:uiPriority w:val="0"/>
    <w:qFormat w:val="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45" w:customStyle="1">
    <w:name w:val="HTML Bottom of Form"/>
    <w:next w:val="1"/>
    <w:hidden w:val="1"/>
    <w:uiPriority w:val="0"/>
    <w:qFormat w:val="1"/>
    <w:pPr>
      <w:widowControl w:val="0"/>
      <w:pBdr>
        <w:top w:color="000000" w:space="0" w:sz="2" w:val="double"/>
      </w:pBdr>
      <w:spacing w:after="100" w:before="100"/>
      <w:jc w:val="center"/>
    </w:pPr>
    <w:rPr>
      <w:rFonts w:ascii="Arial" w:cs="Times New Roman" w:eastAsia="Times New Roman" w:hAnsi="Arial"/>
      <w:snapToGrid w:val="0"/>
      <w:vanish w:val="1"/>
      <w:sz w:val="16"/>
      <w:szCs w:val="24"/>
      <w:lang w:bidi="ar-SA" w:eastAsia="en-US" w:val="en-US"/>
    </w:rPr>
  </w:style>
  <w:style w:type="paragraph" w:styleId="46" w:customStyle="1">
    <w:name w:val="HTML Top of Form"/>
    <w:next w:val="1"/>
    <w:hidden w:val="1"/>
    <w:uiPriority w:val="0"/>
    <w:qFormat w:val="1"/>
    <w:pPr>
      <w:widowControl w:val="0"/>
      <w:pBdr>
        <w:bottom w:color="000000" w:space="0" w:sz="2" w:val="double"/>
      </w:pBdr>
      <w:spacing w:after="100" w:before="100"/>
      <w:jc w:val="center"/>
    </w:pPr>
    <w:rPr>
      <w:rFonts w:ascii="Arial" w:cs="Times New Roman" w:eastAsia="Times New Roman" w:hAnsi="Arial"/>
      <w:snapToGrid w:val="0"/>
      <w:vanish w:val="1"/>
      <w:sz w:val="16"/>
      <w:szCs w:val="24"/>
      <w:lang w:bidi="ar-SA" w:eastAsia="en-US" w:val="en-US"/>
    </w:rPr>
  </w:style>
  <w:style w:type="character" w:styleId="47" w:customStyle="1">
    <w:name w:val="Sample"/>
    <w:uiPriority w:val="0"/>
    <w:qFormat w:val="1"/>
    <w:rPr>
      <w:rFonts w:ascii="Courier New" w:hAnsi="Courier New"/>
    </w:rPr>
  </w:style>
  <w:style w:type="character" w:styleId="48" w:customStyle="1">
    <w:name w:val="Typewriter"/>
    <w:uiPriority w:val="0"/>
    <w:qFormat w:val="1"/>
    <w:rPr>
      <w:rFonts w:ascii="Courier New" w:hAnsi="Courier New"/>
      <w:sz w:val="20"/>
    </w:rPr>
  </w:style>
  <w:style w:type="character" w:styleId="49" w:customStyle="1">
    <w:name w:val="Variable"/>
    <w:uiPriority w:val="0"/>
    <w:qFormat w:val="1"/>
    <w:rPr>
      <w:i w:val="1"/>
    </w:rPr>
  </w:style>
  <w:style w:type="character" w:styleId="50" w:customStyle="1">
    <w:name w:val="HTML Markup"/>
    <w:uiPriority w:val="0"/>
    <w:qFormat w:val="1"/>
    <w:rPr>
      <w:vanish w:val="1"/>
      <w:color w:val="ff0000"/>
    </w:rPr>
  </w:style>
  <w:style w:type="character" w:styleId="51" w:customStyle="1">
    <w:name w:val="Comment"/>
    <w:uiPriority w:val="0"/>
    <w:qFormat w:val="1"/>
    <w:rPr>
      <w:vanish w:val="1"/>
    </w:rPr>
  </w:style>
  <w:style w:type="character" w:styleId="52" w:customStyle="1">
    <w:name w:val="Alt Bilgi Char"/>
    <w:link w:val="18"/>
    <w:uiPriority w:val="0"/>
    <w:qFormat w:val="1"/>
    <w:rPr>
      <w:snapToGrid w:val="0"/>
      <w:sz w:val="24"/>
      <w:lang w:eastAsia="en-US" w:val="en-US"/>
    </w:rPr>
  </w:style>
  <w:style w:type="character" w:styleId="53" w:customStyle="1">
    <w:name w:val="Balon Metni Char"/>
    <w:link w:val="10"/>
    <w:uiPriority w:val="0"/>
    <w:qFormat w:val="1"/>
    <w:rPr>
      <w:rFonts w:ascii="Tahoma" w:cs="Tahoma" w:hAnsi="Tahoma"/>
      <w:snapToGrid w:val="0"/>
      <w:sz w:val="16"/>
      <w:szCs w:val="16"/>
      <w:lang w:eastAsia="en-US" w:val="en-US"/>
    </w:rPr>
  </w:style>
  <w:style w:type="character" w:styleId="54" w:customStyle="1">
    <w:name w:val="Açıklama Metni Char"/>
    <w:link w:val="13"/>
    <w:uiPriority w:val="0"/>
    <w:rPr>
      <w:snapToGrid w:val="0"/>
      <w:lang w:eastAsia="en-US" w:val="en-US"/>
    </w:rPr>
  </w:style>
  <w:style w:type="character" w:styleId="55" w:customStyle="1">
    <w:name w:val="Açıklama Konusu Char"/>
    <w:link w:val="14"/>
    <w:uiPriority w:val="0"/>
    <w:rPr>
      <w:b w:val="1"/>
      <w:bCs w:val="1"/>
      <w:snapToGrid w:val="0"/>
      <w:lang w:eastAsia="en-US" w:val="en-US"/>
    </w:rPr>
  </w:style>
  <w:style w:type="paragraph" w:styleId="56" w:customStyle="1">
    <w:name w:val="PRAG Heading 2"/>
    <w:basedOn w:val="1"/>
    <w:uiPriority w:val="0"/>
    <w:qFormat w:val="1"/>
    <w:pPr>
      <w:numPr>
        <w:ilvl w:val="0"/>
        <w:numId w:val="1"/>
      </w:numPr>
    </w:pPr>
  </w:style>
  <w:style w:type="character" w:styleId="57" w:customStyle="1">
    <w:name w:val="Altyazı Char"/>
    <w:link w:val="26"/>
    <w:uiPriority w:val="0"/>
    <w:qFormat w:val="1"/>
    <w:rPr>
      <w:b w:val="1"/>
      <w:sz w:val="28"/>
      <w:lang w:val="fr-BE"/>
    </w:rPr>
  </w:style>
  <w:style w:type="character" w:styleId="58" w:customStyle="1">
    <w:name w:val="Dipnot Metni Char"/>
    <w:link w:val="20"/>
    <w:uiPriority w:val="99"/>
    <w:rPr>
      <w:snapToGrid w:val="0"/>
      <w:lang w:eastAsia="en-US" w:val="en-US"/>
    </w:rPr>
  </w:style>
  <w:style w:type="character" w:styleId="59" w:customStyle="1">
    <w:name w:val="normaltextrun"/>
    <w:uiPriority w:val="0"/>
  </w:style>
  <w:style w:type="character" w:styleId="60" w:customStyle="1">
    <w:name w:val="eop"/>
    <w:uiPriority w:val="0"/>
  </w:style>
  <w:style w:type="paragraph" w:styleId="61" w:customStyle="1">
    <w:name w:val="paragraph"/>
    <w:basedOn w:val="1"/>
    <w:uiPriority w:val="0"/>
    <w:pPr>
      <w:widowControl w:val="1"/>
      <w:spacing w:afterAutospacing="1" w:beforeAutospacing="1"/>
    </w:pPr>
    <w:rPr>
      <w:snapToGrid w:val="1"/>
      <w:lang w:eastAsia="fr-BE" w:val="fr-BE"/>
    </w:rPr>
  </w:style>
  <w:style w:type="character" w:styleId="62" w:customStyle="1">
    <w:name w:val="highlight"/>
    <w:uiPriority w:val="0"/>
    <w:rPr>
      <w:rFonts w:cs="Times New Roman"/>
    </w:rPr>
  </w:style>
  <w:style w:type="paragraph" w:styleId="63">
    <w:name w:val="List Paragraph"/>
    <w:basedOn w:val="1"/>
    <w:uiPriority w:val="34"/>
    <w:qFormat w:val="1"/>
    <w:pPr>
      <w:ind w:left="720"/>
    </w:pPr>
  </w:style>
  <w:style w:type="paragraph" w:styleId="64" w:customStyle="1">
    <w:name w:val="Revision"/>
    <w:hidden w:val="1"/>
    <w:uiPriority w:val="99"/>
    <w:semiHidden w:val="1"/>
    <w:pPr>
      <w:widowControl w:val="0"/>
      <w:spacing w:after="100" w:before="100"/>
    </w:pPr>
    <w:rPr>
      <w:rFonts w:ascii="Times New Roman" w:cs="Times New Roman" w:eastAsia="Times New Roman" w:hAnsi="Times New Roman"/>
      <w:snapToGrid w:val="0"/>
      <w:sz w:val="24"/>
      <w:szCs w:val="24"/>
      <w:lang w:bidi="ar-SA" w:eastAsia="en-US" w:val="en-US"/>
    </w:rPr>
  </w:style>
  <w:style w:type="character" w:styleId="65" w:customStyle="1">
    <w:name w:val="Başlık 4 Char"/>
    <w:basedOn w:val="8"/>
    <w:link w:val="5"/>
    <w:uiPriority w:val="0"/>
    <w:semiHidden w:val="1"/>
    <w:qFormat w:val="1"/>
    <w:rPr>
      <w:rFonts w:asciiTheme="minorHAnsi" w:cstheme="minorBidi" w:eastAsiaTheme="minorEastAsia" w:hAnsiTheme="minorHAnsi"/>
      <w:b w:val="1"/>
      <w:bCs w:val="1"/>
      <w:snapToGrid w:val="0"/>
      <w:sz w:val="28"/>
      <w:szCs w:val="28"/>
      <w:lang w:eastAsia="en-US" w:val="en-US"/>
    </w:rPr>
  </w:style>
  <w:style w:type="character" w:styleId="66" w:customStyle="1">
    <w:name w:val="Çözümlenmeyen Bahsetme1"/>
    <w:basedOn w:val="8"/>
    <w:uiPriority w:val="99"/>
    <w:semiHidden w:val="1"/>
    <w:unhideWhenUsed w:val="1"/>
    <w:qFormat w:val="1"/>
    <w:rPr>
      <w:color w:val="605e5c"/>
      <w:shd w:color="auto" w:fill="e1dfdd" w:val="clear"/>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ec.europa.eu/budget/graphs/inforeuro.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ownload/attachments/152798822/a14a_declaration_honour_procurement_en.docx?version=2&amp;modificationDate=1737021464378&amp;api=v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Bu9O+agmklCl7JXrNRYlLaa2Tg==">CgMxLjAyCGguZ2pkZ3hzMgloLjFmb2I5dGUyCWguM3pueXNoNzIJaC4yZXQ5MnAwMg5oLmRpNnJmNHJ1c3IydjgAciExRUhJa1U5RXdwRk9OTmd4MU93eExaVjhpRVA4LTB5V3I=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2025-06-26T10:47:00Z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0x010100263B1F5D7841074CBE2E963D24797DAD</vt:lpwstr>
  </property>
  <property fmtid="{D5CDD505-2E9C-101B-9397-08002B2CF9AE}" pid="5" name="KSOProductBuildVer">
    <vt:lpwstr>1033-12.2.0.21546</vt:lpwstr>
  </property>
  <property fmtid="{D5CDD505-2E9C-101B-9397-08002B2CF9AE}" pid="6" name="ICV">
    <vt:lpwstr>5EAF37C685E741868BC3506C04DC423C_12</vt:lpwstr>
  </property>
</Properties>
</file>