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mallCaps w:val="1"/>
          <w:sz w:val="28"/>
          <w:szCs w:val="28"/>
        </w:rPr>
      </w:pPr>
      <w:r w:rsidDel="00000000" w:rsidR="00000000" w:rsidRPr="00000000">
        <w:rPr>
          <w:b w:val="1"/>
          <w:smallCaps w:val="1"/>
          <w:sz w:val="28"/>
          <w:szCs w:val="28"/>
          <w:rtl w:val="0"/>
        </w:rPr>
        <w:t xml:space="preserve">DRAFT CONTRACT</w:t>
      </w:r>
    </w:p>
    <w:p w:rsidR="00000000" w:rsidDel="00000000" w:rsidP="00000000" w:rsidRDefault="00000000" w:rsidRPr="00000000" w14:paraId="00000002">
      <w:pPr>
        <w:spacing w:before="360" w:lineRule="auto"/>
        <w:jc w:val="center"/>
        <w:rPr>
          <w:b w:val="1"/>
          <w:smallCaps w:val="1"/>
        </w:rPr>
      </w:pPr>
      <w:r w:rsidDel="00000000" w:rsidR="00000000" w:rsidRPr="00000000">
        <w:rPr>
          <w:b w:val="1"/>
          <w:smallCaps w:val="1"/>
          <w:rtl w:val="0"/>
        </w:rPr>
        <w:t xml:space="preserve">SERVICE CONTRACT FOR EUROPEAN UNION EXTERNAL ACTIONS</w:t>
      </w:r>
    </w:p>
    <w:p w:rsidR="00000000" w:rsidDel="00000000" w:rsidP="00000000" w:rsidRDefault="00000000" w:rsidRPr="00000000" w14:paraId="00000003">
      <w:pPr>
        <w:jc w:val="center"/>
        <w:rPr>
          <w:b w:val="1"/>
          <w:smallCaps w:val="1"/>
        </w:rPr>
      </w:pPr>
      <w:r w:rsidDel="00000000" w:rsidR="00000000" w:rsidRPr="00000000">
        <w:rPr>
          <w:b w:val="1"/>
          <w:smallCaps w:val="1"/>
          <w:rtl w:val="0"/>
        </w:rPr>
        <w:t xml:space="preserve">No &lt; IPA III/2024/457-197/TK-008&gt;</w:t>
      </w:r>
    </w:p>
    <w:p w:rsidR="00000000" w:rsidDel="00000000" w:rsidP="00000000" w:rsidRDefault="00000000" w:rsidRPr="00000000" w14:paraId="00000004">
      <w:pPr>
        <w:jc w:val="center"/>
        <w:rPr>
          <w:b w:val="1"/>
          <w:sz w:val="28"/>
          <w:szCs w:val="28"/>
        </w:rPr>
      </w:pPr>
      <w:r w:rsidDel="00000000" w:rsidR="00000000" w:rsidRPr="00000000">
        <w:rPr>
          <w:b w:val="1"/>
          <w:smallCaps w:val="1"/>
          <w:sz w:val="28"/>
          <w:szCs w:val="28"/>
          <w:rtl w:val="0"/>
        </w:rPr>
        <w:t xml:space="preserve">financed from the general budget of the Union </w:t>
      </w:r>
      <w:r w:rsidDel="00000000" w:rsidR="00000000" w:rsidRPr="00000000">
        <w:rPr>
          <w:rtl w:val="0"/>
        </w:rPr>
      </w:r>
    </w:p>
    <w:p w:rsidR="00000000" w:rsidDel="00000000" w:rsidP="00000000" w:rsidRDefault="00000000" w:rsidRPr="00000000" w14:paraId="00000005">
      <w:pPr>
        <w:widowControl w:val="0"/>
        <w:spacing w:after="100" w:before="100" w:lineRule="auto"/>
        <w:rPr>
          <w:sz w:val="22"/>
          <w:szCs w:val="22"/>
        </w:rPr>
      </w:pPr>
      <w:r w:rsidDel="00000000" w:rsidR="00000000" w:rsidRPr="00000000">
        <w:rPr>
          <w:sz w:val="22"/>
          <w:szCs w:val="22"/>
          <w:highlight w:val="white"/>
          <w:rtl w:val="0"/>
        </w:rPr>
        <w:t xml:space="preserve">REDI Türkiye (ROMAN GİRİŞİMCİLİĞİNİ GELİŞTİRME İNİSİYATİFİ DERNEĞİ)</w:t>
      </w:r>
      <w:r w:rsidDel="00000000" w:rsidR="00000000" w:rsidRPr="00000000">
        <w:rPr>
          <w:rtl w:val="0"/>
        </w:rPr>
      </w:r>
    </w:p>
    <w:p w:rsidR="00000000" w:rsidDel="00000000" w:rsidP="00000000" w:rsidRDefault="00000000" w:rsidRPr="00000000" w14:paraId="00000006">
      <w:pPr>
        <w:widowControl w:val="0"/>
        <w:spacing w:after="100" w:before="100" w:lineRule="auto"/>
        <w:rPr>
          <w:sz w:val="22"/>
          <w:szCs w:val="22"/>
        </w:rPr>
      </w:pPr>
      <w:r w:rsidDel="00000000" w:rsidR="00000000" w:rsidRPr="00000000">
        <w:rPr>
          <w:sz w:val="22"/>
          <w:szCs w:val="22"/>
          <w:rtl w:val="0"/>
        </w:rPr>
        <w:t xml:space="preserve">Bahçelievler, 1851/10. Sokak No:3, 35600 Karşıyaka, Izmir, Türkiye</w:t>
      </w:r>
    </w:p>
    <w:p w:rsidR="00000000" w:rsidDel="00000000" w:rsidP="00000000" w:rsidRDefault="00000000" w:rsidRPr="00000000" w14:paraId="00000007">
      <w:pPr>
        <w:widowControl w:val="0"/>
        <w:spacing w:after="100" w:before="100" w:lineRule="auto"/>
        <w:rPr>
          <w:sz w:val="22"/>
          <w:szCs w:val="22"/>
          <w:highlight w:val="white"/>
        </w:rPr>
      </w:pPr>
      <w:r w:rsidDel="00000000" w:rsidR="00000000" w:rsidRPr="00000000">
        <w:rPr>
          <w:rtl w:val="0"/>
        </w:rPr>
      </w:r>
    </w:p>
    <w:p w:rsidR="00000000" w:rsidDel="00000000" w:rsidP="00000000" w:rsidRDefault="00000000" w:rsidRPr="00000000" w14:paraId="00000008">
      <w:pPr>
        <w:spacing w:after="120" w:lineRule="auto"/>
        <w:rPr>
          <w:sz w:val="22"/>
          <w:szCs w:val="22"/>
        </w:rPr>
      </w:pPr>
      <w:r w:rsidDel="00000000" w:rsidR="00000000" w:rsidRPr="00000000">
        <w:rPr>
          <w:sz w:val="22"/>
          <w:szCs w:val="22"/>
          <w:rtl w:val="0"/>
        </w:rPr>
        <w:t xml:space="preserve">(‘the contracting authority’),</w:t>
      </w:r>
    </w:p>
    <w:p w:rsidR="00000000" w:rsidDel="00000000" w:rsidP="00000000" w:rsidRDefault="00000000" w:rsidRPr="00000000" w14:paraId="00000009">
      <w:pPr>
        <w:spacing w:after="120" w:lineRule="auto"/>
        <w:jc w:val="right"/>
        <w:rPr>
          <w:sz w:val="22"/>
          <w:szCs w:val="22"/>
        </w:rPr>
      </w:pPr>
      <w:r w:rsidDel="00000000" w:rsidR="00000000" w:rsidRPr="00000000">
        <w:rPr>
          <w:sz w:val="22"/>
          <w:szCs w:val="22"/>
          <w:rtl w:val="0"/>
        </w:rPr>
        <w:t xml:space="preserve">of the one part,</w:t>
      </w:r>
    </w:p>
    <w:p w:rsidR="00000000" w:rsidDel="00000000" w:rsidP="00000000" w:rsidRDefault="00000000" w:rsidRPr="00000000" w14:paraId="0000000A">
      <w:pPr>
        <w:spacing w:after="120" w:lineRule="auto"/>
        <w:rPr>
          <w:sz w:val="22"/>
          <w:szCs w:val="22"/>
        </w:rPr>
      </w:pPr>
      <w:r w:rsidDel="00000000" w:rsidR="00000000" w:rsidRPr="00000000">
        <w:rPr>
          <w:sz w:val="22"/>
          <w:szCs w:val="22"/>
          <w:rtl w:val="0"/>
        </w:rPr>
        <w:t xml:space="preserve">and</w:t>
      </w:r>
    </w:p>
    <w:p w:rsidR="00000000" w:rsidDel="00000000" w:rsidP="00000000" w:rsidRDefault="00000000" w:rsidRPr="00000000" w14:paraId="0000000B">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Full official</w:t>
      </w:r>
      <w:r w:rsidDel="00000000" w:rsidR="00000000" w:rsidRPr="00000000">
        <w:rPr>
          <w:color w:val="00ff00"/>
          <w:sz w:val="22"/>
          <w:szCs w:val="22"/>
          <w:highlight w:val="yellow"/>
          <w:rtl w:val="0"/>
        </w:rPr>
        <w:t xml:space="preserve"> </w:t>
      </w:r>
      <w:r w:rsidDel="00000000" w:rsidR="00000000" w:rsidRPr="00000000">
        <w:rPr>
          <w:sz w:val="22"/>
          <w:szCs w:val="22"/>
          <w:highlight w:val="yellow"/>
          <w:rtl w:val="0"/>
        </w:rPr>
        <w:t xml:space="preserve">name of the contractor</w:t>
      </w:r>
      <w:r w:rsidDel="00000000" w:rsidR="00000000" w:rsidRPr="00000000">
        <w:rPr>
          <w:sz w:val="22"/>
          <w:szCs w:val="22"/>
          <w:rtl w:val="0"/>
        </w:rPr>
        <w:t xml:space="preserve">&gt; </w:t>
      </w:r>
    </w:p>
    <w:p w:rsidR="00000000" w:rsidDel="00000000" w:rsidP="00000000" w:rsidRDefault="00000000" w:rsidRPr="00000000" w14:paraId="0000000C">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Legal status/title</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0"/>
      </w:r>
      <w:r w:rsidDel="00000000" w:rsidR="00000000" w:rsidRPr="00000000">
        <w:rPr>
          <w:rtl w:val="0"/>
        </w:rPr>
      </w:r>
    </w:p>
    <w:p w:rsidR="00000000" w:rsidDel="00000000" w:rsidP="00000000" w:rsidRDefault="00000000" w:rsidRPr="00000000" w14:paraId="0000000D">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Official registration number</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1"/>
      </w:r>
      <w:r w:rsidDel="00000000" w:rsidR="00000000" w:rsidRPr="00000000">
        <w:rPr>
          <w:rtl w:val="0"/>
        </w:rPr>
      </w:r>
    </w:p>
    <w:p w:rsidR="00000000" w:rsidDel="00000000" w:rsidP="00000000" w:rsidRDefault="00000000" w:rsidRPr="00000000" w14:paraId="0000000E">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Full official address</w:t>
      </w:r>
      <w:r w:rsidDel="00000000" w:rsidR="00000000" w:rsidRPr="00000000">
        <w:rPr>
          <w:sz w:val="22"/>
          <w:szCs w:val="22"/>
          <w:rtl w:val="0"/>
        </w:rPr>
        <w:t xml:space="preserve">&gt;</w:t>
      </w:r>
    </w:p>
    <w:p w:rsidR="00000000" w:rsidDel="00000000" w:rsidP="00000000" w:rsidRDefault="00000000" w:rsidRPr="00000000" w14:paraId="0000000F">
      <w:pPr>
        <w:spacing w:after="0" w:lineRule="auto"/>
        <w:rPr>
          <w:sz w:val="22"/>
          <w:szCs w:val="22"/>
        </w:rPr>
      </w:pPr>
      <w:r w:rsidDel="00000000" w:rsidR="00000000" w:rsidRPr="00000000">
        <w:rPr>
          <w:sz w:val="22"/>
          <w:szCs w:val="22"/>
          <w:rtl w:val="0"/>
        </w:rPr>
        <w:t xml:space="preserve">[&lt;</w:t>
      </w:r>
      <w:r w:rsidDel="00000000" w:rsidR="00000000" w:rsidRPr="00000000">
        <w:rPr>
          <w:sz w:val="22"/>
          <w:szCs w:val="22"/>
          <w:highlight w:val="yellow"/>
          <w:rtl w:val="0"/>
        </w:rPr>
        <w:t xml:space="preserve">VAT number</w:t>
      </w:r>
      <w:r w:rsidDel="00000000" w:rsidR="00000000" w:rsidRPr="00000000">
        <w:rPr>
          <w:sz w:val="22"/>
          <w:szCs w:val="22"/>
          <w:rtl w:val="0"/>
        </w:rPr>
        <w:t xml:space="preserve">&gt;]</w:t>
      </w:r>
      <w:r w:rsidDel="00000000" w:rsidR="00000000" w:rsidRPr="00000000">
        <w:rPr>
          <w:sz w:val="26"/>
          <w:szCs w:val="26"/>
          <w:vertAlign w:val="superscript"/>
        </w:rPr>
        <w:footnoteReference w:customMarkFollows="0" w:id="2"/>
      </w:r>
      <w:r w:rsidDel="00000000" w:rsidR="00000000" w:rsidRPr="00000000">
        <w:rPr>
          <w:sz w:val="22"/>
          <w:szCs w:val="22"/>
          <w:rtl w:val="0"/>
        </w:rPr>
        <w:t xml:space="preserve">, </w:t>
      </w:r>
    </w:p>
    <w:p w:rsidR="00000000" w:rsidDel="00000000" w:rsidP="00000000" w:rsidRDefault="00000000" w:rsidRPr="00000000" w14:paraId="00000010">
      <w:pPr>
        <w:spacing w:after="0" w:lineRule="auto"/>
        <w:rPr>
          <w:sz w:val="22"/>
          <w:szCs w:val="22"/>
        </w:rPr>
      </w:pPr>
      <w:r w:rsidDel="00000000" w:rsidR="00000000" w:rsidRPr="00000000">
        <w:rPr>
          <w:rtl w:val="0"/>
        </w:rPr>
      </w:r>
    </w:p>
    <w:p w:rsidR="00000000" w:rsidDel="00000000" w:rsidP="00000000" w:rsidRDefault="00000000" w:rsidRPr="00000000" w14:paraId="00000011">
      <w:pPr>
        <w:spacing w:after="0" w:lineRule="auto"/>
        <w:rPr>
          <w:sz w:val="22"/>
          <w:szCs w:val="22"/>
        </w:rPr>
      </w:pPr>
      <w:r w:rsidDel="00000000" w:rsidR="00000000" w:rsidRPr="00000000">
        <w:rPr>
          <w:sz w:val="22"/>
          <w:szCs w:val="22"/>
          <w:rtl w:val="0"/>
        </w:rPr>
        <w:t xml:space="preserve">(‘the contractor’) </w:t>
      </w:r>
    </w:p>
    <w:p w:rsidR="00000000" w:rsidDel="00000000" w:rsidP="00000000" w:rsidRDefault="00000000" w:rsidRPr="00000000" w14:paraId="00000012">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120" w:lineRule="auto"/>
        <w:jc w:val="right"/>
        <w:rPr>
          <w:sz w:val="22"/>
          <w:szCs w:val="22"/>
        </w:rPr>
      </w:pPr>
      <w:r w:rsidDel="00000000" w:rsidR="00000000" w:rsidRPr="00000000">
        <w:rPr>
          <w:sz w:val="22"/>
          <w:szCs w:val="22"/>
          <w:rtl w:val="0"/>
        </w:rPr>
        <w:t xml:space="preserve">of the other part,</w:t>
      </w:r>
    </w:p>
    <w:p w:rsidR="00000000" w:rsidDel="00000000" w:rsidP="00000000" w:rsidRDefault="00000000" w:rsidRPr="00000000" w14:paraId="00000013">
      <w:pPr>
        <w:spacing w:after="120" w:lineRule="auto"/>
        <w:rPr>
          <w:sz w:val="22"/>
          <w:szCs w:val="22"/>
        </w:rPr>
      </w:pPr>
      <w:r w:rsidDel="00000000" w:rsidR="00000000" w:rsidRPr="00000000">
        <w:rPr>
          <w:sz w:val="22"/>
          <w:szCs w:val="22"/>
          <w:rtl w:val="0"/>
        </w:rPr>
        <w:t xml:space="preserve">have agreed as follows:</w:t>
      </w:r>
    </w:p>
    <w:p w:rsidR="00000000" w:rsidDel="00000000" w:rsidP="00000000" w:rsidRDefault="00000000" w:rsidRPr="00000000" w14:paraId="00000014">
      <w:pPr>
        <w:spacing w:after="0" w:before="240" w:lineRule="auto"/>
        <w:jc w:val="center"/>
        <w:rPr>
          <w:b w:val="1"/>
          <w:sz w:val="22"/>
          <w:szCs w:val="22"/>
        </w:rPr>
      </w:pPr>
      <w:r w:rsidDel="00000000" w:rsidR="00000000" w:rsidRPr="00000000">
        <w:rPr>
          <w:b w:val="1"/>
          <w:sz w:val="22"/>
          <w:szCs w:val="22"/>
          <w:rtl w:val="0"/>
        </w:rPr>
        <w:t xml:space="preserve">PROJECT: EU SUPPORT TO REDI PHASE II: ADVANCING ROMA ENTREPRENEURS IN THE WESTERN BALKANS AND TÜRKIYE </w:t>
      </w:r>
    </w:p>
    <w:p w:rsidR="00000000" w:rsidDel="00000000" w:rsidP="00000000" w:rsidRDefault="00000000" w:rsidRPr="00000000" w14:paraId="00000015">
      <w:pPr>
        <w:spacing w:after="0" w:before="360" w:lineRule="auto"/>
        <w:jc w:val="center"/>
        <w:rPr>
          <w:b w:val="1"/>
          <w:sz w:val="28"/>
          <w:szCs w:val="28"/>
        </w:rPr>
      </w:pPr>
      <w:r w:rsidDel="00000000" w:rsidR="00000000" w:rsidRPr="00000000">
        <w:rPr>
          <w:b w:val="1"/>
          <w:sz w:val="28"/>
          <w:szCs w:val="28"/>
          <w:rtl w:val="0"/>
        </w:rPr>
        <w:t xml:space="preserve">CONTRACT TITLE </w:t>
      </w:r>
      <w:r w:rsidDel="00000000" w:rsidR="00000000" w:rsidRPr="00000000">
        <w:rPr>
          <w:sz w:val="22"/>
          <w:szCs w:val="22"/>
          <w:rtl w:val="0"/>
        </w:rPr>
        <w:t xml:space="preserve">&lt;</w:t>
      </w:r>
      <w:r w:rsidDel="00000000" w:rsidR="00000000" w:rsidRPr="00000000">
        <w:rPr>
          <w:b w:val="1"/>
          <w:sz w:val="22"/>
          <w:szCs w:val="22"/>
          <w:rtl w:val="0"/>
        </w:rPr>
        <w:t xml:space="preserve">One-on-one</w:t>
      </w:r>
      <w:r w:rsidDel="00000000" w:rsidR="00000000" w:rsidRPr="00000000">
        <w:rPr>
          <w:sz w:val="22"/>
          <w:szCs w:val="22"/>
          <w:rtl w:val="0"/>
        </w:rPr>
        <w:t xml:space="preserve"> </w:t>
      </w:r>
      <w:r w:rsidDel="00000000" w:rsidR="00000000" w:rsidRPr="00000000">
        <w:rPr>
          <w:b w:val="1"/>
          <w:sz w:val="22"/>
          <w:szCs w:val="22"/>
          <w:rtl w:val="0"/>
        </w:rPr>
        <w:t xml:space="preserve">Support Programs for Entrepreneurs </w:t>
      </w:r>
      <w:r w:rsidDel="00000000" w:rsidR="00000000" w:rsidRPr="00000000">
        <w:rPr>
          <w:sz w:val="22"/>
          <w:szCs w:val="22"/>
          <w:rtl w:val="0"/>
        </w:rPr>
        <w:t xml:space="preserve">&gt;</w:t>
      </w:r>
      <w:r w:rsidDel="00000000" w:rsidR="00000000" w:rsidRPr="00000000">
        <w:rPr>
          <w:rtl w:val="0"/>
        </w:rPr>
      </w:r>
    </w:p>
    <w:p w:rsidR="00000000" w:rsidDel="00000000" w:rsidP="00000000" w:rsidRDefault="00000000" w:rsidRPr="00000000" w14:paraId="00000016">
      <w:pPr>
        <w:spacing w:before="240" w:lineRule="auto"/>
        <w:jc w:val="center"/>
        <w:rPr>
          <w:b w:val="1"/>
          <w:sz w:val="22"/>
          <w:szCs w:val="22"/>
        </w:rPr>
      </w:pPr>
      <w:r w:rsidDel="00000000" w:rsidR="00000000" w:rsidRPr="00000000">
        <w:rPr>
          <w:b w:val="1"/>
          <w:sz w:val="22"/>
          <w:szCs w:val="22"/>
          <w:rtl w:val="0"/>
        </w:rPr>
        <w:t xml:space="preserve">Identification number </w:t>
      </w:r>
      <w:r w:rsidDel="00000000" w:rsidR="00000000" w:rsidRPr="00000000">
        <w:rPr>
          <w:sz w:val="22"/>
          <w:szCs w:val="22"/>
          <w:rtl w:val="0"/>
        </w:rPr>
        <w:t xml:space="preserve">&lt;</w:t>
      </w:r>
      <w:r w:rsidDel="00000000" w:rsidR="00000000" w:rsidRPr="00000000">
        <w:rPr>
          <w:b w:val="1"/>
          <w:smallCaps w:val="1"/>
          <w:rtl w:val="0"/>
        </w:rPr>
        <w:t xml:space="preserve"> IPA III/2024/457-197/TK-008</w:t>
      </w:r>
      <w:r w:rsidDel="00000000" w:rsidR="00000000" w:rsidRPr="00000000">
        <w:rPr>
          <w:sz w:val="22"/>
          <w:szCs w:val="22"/>
          <w:rtl w:val="0"/>
        </w:rPr>
        <w:t xml:space="preserve">&gt;</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(1)</w:t>
        <w:tab/>
        <w:t xml:space="preserve">Subject</w:t>
      </w:r>
    </w:p>
    <w:p w:rsidR="00000000" w:rsidDel="00000000" w:rsidP="00000000" w:rsidRDefault="00000000" w:rsidRPr="00000000" w14:paraId="00000018">
      <w:pPr>
        <w:spacing w:after="120" w:lineRule="auto"/>
        <w:ind w:left="1134" w:hanging="567"/>
        <w:rPr>
          <w:sz w:val="22"/>
          <w:szCs w:val="22"/>
        </w:rPr>
      </w:pPr>
      <w:r w:rsidDel="00000000" w:rsidR="00000000" w:rsidRPr="00000000">
        <w:rPr>
          <w:sz w:val="22"/>
          <w:szCs w:val="22"/>
          <w:rtl w:val="0"/>
        </w:rPr>
        <w:t xml:space="preserve">1.1</w:t>
        <w:tab/>
        <w:t xml:space="preserve">The subject of this contract is </w:t>
      </w:r>
      <w:r w:rsidDel="00000000" w:rsidR="00000000" w:rsidRPr="00000000">
        <w:rPr>
          <w:b w:val="1"/>
          <w:sz w:val="22"/>
          <w:szCs w:val="22"/>
          <w:rtl w:val="0"/>
        </w:rPr>
        <w:t xml:space="preserve">One-on-one mentorship and coaching to enhance business sustainability</w:t>
      </w:r>
      <w:r w:rsidDel="00000000" w:rsidR="00000000" w:rsidRPr="00000000">
        <w:rPr>
          <w:sz w:val="22"/>
          <w:szCs w:val="22"/>
          <w:rtl w:val="0"/>
        </w:rPr>
        <w:t xml:space="preserve"> done in Türkiye with identification number IPA III/2024/457-197/TK-008 (‘the services’).</w:t>
      </w:r>
    </w:p>
    <w:p w:rsidR="00000000" w:rsidDel="00000000" w:rsidP="00000000" w:rsidRDefault="00000000" w:rsidRPr="00000000" w14:paraId="00000019">
      <w:pPr>
        <w:spacing w:after="120" w:lineRule="auto"/>
        <w:ind w:left="1134" w:hanging="567"/>
        <w:rPr>
          <w:sz w:val="22"/>
          <w:szCs w:val="22"/>
        </w:rPr>
      </w:pPr>
      <w:r w:rsidDel="00000000" w:rsidR="00000000" w:rsidRPr="00000000">
        <w:rPr>
          <w:sz w:val="22"/>
          <w:szCs w:val="22"/>
          <w:rtl w:val="0"/>
        </w:rPr>
        <w:t xml:space="preserve">1.2</w:t>
        <w:tab/>
        <w:t xml:space="preserve">The contractor shall execute the tasks assigned to him in accordance with the terms of reference annexed to the contract (Annexe II)</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(2)</w:t>
        <w:tab/>
        <w:t xml:space="preserve">Contract value</w:t>
      </w:r>
    </w:p>
    <w:p w:rsidR="00000000" w:rsidDel="00000000" w:rsidP="00000000" w:rsidRDefault="00000000" w:rsidRPr="00000000" w14:paraId="0000001B">
      <w:pPr>
        <w:spacing w:after="120" w:lineRule="auto"/>
        <w:ind w:left="567" w:firstLine="0"/>
        <w:rPr>
          <w:sz w:val="22"/>
          <w:szCs w:val="22"/>
        </w:rPr>
      </w:pPr>
      <w:r w:rsidDel="00000000" w:rsidR="00000000" w:rsidRPr="00000000">
        <w:rPr>
          <w:rtl w:val="0"/>
        </w:rPr>
      </w:r>
    </w:p>
    <w:p w:rsidR="00000000" w:rsidDel="00000000" w:rsidP="00000000" w:rsidRDefault="00000000" w:rsidRPr="00000000" w14:paraId="0000001C">
      <w:pPr>
        <w:spacing w:after="120" w:lineRule="auto"/>
        <w:ind w:left="567" w:firstLine="0"/>
        <w:rPr>
          <w:b w:val="1"/>
          <w:sz w:val="22"/>
          <w:szCs w:val="22"/>
        </w:rPr>
      </w:pPr>
      <w:r w:rsidDel="00000000" w:rsidR="00000000" w:rsidRPr="00000000">
        <w:rPr>
          <w:sz w:val="22"/>
          <w:szCs w:val="22"/>
          <w:rtl w:val="0"/>
        </w:rPr>
        <w:t xml:space="preserve">This contract, established in [&lt;national currency&gt;], is a fee-based price contract. The contract values are a Maximum of </w:t>
      </w:r>
      <w:r w:rsidDel="00000000" w:rsidR="00000000" w:rsidRPr="00000000">
        <w:rPr>
          <w:b w:val="1"/>
          <w:sz w:val="22"/>
          <w:szCs w:val="22"/>
          <w:highlight w:val="yellow"/>
          <w:rtl w:val="0"/>
        </w:rPr>
        <w:t xml:space="preserve">EUR 79,375.00.</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(3)</w:t>
        <w:tab/>
        <w:t xml:space="preserve">Order of precedence of contract documents</w:t>
      </w:r>
    </w:p>
    <w:p w:rsidR="00000000" w:rsidDel="00000000" w:rsidP="00000000" w:rsidRDefault="00000000" w:rsidRPr="00000000" w14:paraId="0000001E">
      <w:pPr>
        <w:spacing w:after="120" w:lineRule="auto"/>
        <w:ind w:left="567" w:firstLine="0"/>
        <w:rPr>
          <w:sz w:val="22"/>
          <w:szCs w:val="22"/>
        </w:rPr>
      </w:pPr>
      <w:r w:rsidDel="00000000" w:rsidR="00000000" w:rsidRPr="00000000">
        <w:rPr>
          <w:sz w:val="22"/>
          <w:szCs w:val="22"/>
          <w:rtl w:val="0"/>
        </w:rPr>
        <w:t xml:space="preserve">The following documents shall be deemed to form and be read and construed as part of this contract, in the following order of precedence:</w:t>
      </w:r>
    </w:p>
    <w:p w:rsidR="00000000" w:rsidDel="00000000" w:rsidP="00000000" w:rsidRDefault="00000000" w:rsidRPr="00000000" w14:paraId="0000001F">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contract agreement;</w:t>
      </w:r>
    </w:p>
    <w:p w:rsidR="00000000" w:rsidDel="00000000" w:rsidP="00000000" w:rsidRDefault="00000000" w:rsidRPr="00000000" w14:paraId="00000020">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special conditions</w:t>
      </w:r>
    </w:p>
    <w:p w:rsidR="00000000" w:rsidDel="00000000" w:rsidP="00000000" w:rsidRDefault="00000000" w:rsidRPr="00000000" w14:paraId="00000021">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general conditions (Annex I);</w:t>
      </w:r>
    </w:p>
    <w:p w:rsidR="00000000" w:rsidDel="00000000" w:rsidP="00000000" w:rsidRDefault="00000000" w:rsidRPr="00000000" w14:paraId="00000022">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terms of reference [including clarification before the deadline for submitting tenders and minutes of the information meeting/site visit] (Annex II) </w:t>
      </w:r>
    </w:p>
    <w:p w:rsidR="00000000" w:rsidDel="00000000" w:rsidP="00000000" w:rsidRDefault="00000000" w:rsidRPr="00000000" w14:paraId="00000023">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the organisation and methodology [including clarification from the tenderer provided during tender evaluation] (Annex III);</w:t>
      </w:r>
    </w:p>
    <w:p w:rsidR="00000000" w:rsidDel="00000000" w:rsidP="00000000" w:rsidRDefault="00000000" w:rsidRPr="00000000" w14:paraId="00000024">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Budget breakdown (Annex V);</w:t>
      </w:r>
    </w:p>
    <w:p w:rsidR="00000000" w:rsidDel="00000000" w:rsidP="00000000" w:rsidRDefault="00000000" w:rsidRPr="00000000" w14:paraId="00000025">
      <w:pPr>
        <w:numPr>
          <w:ilvl w:val="0"/>
          <w:numId w:val="1"/>
        </w:numPr>
        <w:tabs>
          <w:tab w:val="left" w:leader="none" w:pos="993"/>
        </w:tabs>
        <w:spacing w:after="60" w:lineRule="auto"/>
        <w:ind w:left="993" w:hanging="283"/>
        <w:rPr>
          <w:sz w:val="22"/>
          <w:szCs w:val="22"/>
        </w:rPr>
      </w:pPr>
      <w:r w:rsidDel="00000000" w:rsidR="00000000" w:rsidRPr="00000000">
        <w:rPr>
          <w:sz w:val="22"/>
          <w:szCs w:val="22"/>
          <w:rtl w:val="0"/>
        </w:rPr>
        <w:t xml:space="preserve">Other relevant  forms and documents (Annex VI);</w:t>
      </w:r>
    </w:p>
    <w:p w:rsidR="00000000" w:rsidDel="00000000" w:rsidP="00000000" w:rsidRDefault="00000000" w:rsidRPr="00000000" w14:paraId="00000026">
      <w:pPr>
        <w:numPr>
          <w:ilvl w:val="0"/>
          <w:numId w:val="2"/>
        </w:numPr>
        <w:spacing w:after="120" w:lineRule="auto"/>
        <w:ind w:left="993" w:hanging="283"/>
        <w:rPr>
          <w:sz w:val="22"/>
          <w:szCs w:val="22"/>
        </w:rPr>
      </w:pPr>
      <w:r w:rsidDel="00000000" w:rsidR="00000000" w:rsidRPr="00000000">
        <w:rPr>
          <w:sz w:val="22"/>
          <w:szCs w:val="22"/>
          <w:rtl w:val="0"/>
        </w:rPr>
        <w:t xml:space="preserve">Report of factual findings and terms of reference for an expenditure verification ] (Annex VII):</w:t>
      </w:r>
    </w:p>
    <w:p w:rsidR="00000000" w:rsidDel="00000000" w:rsidP="00000000" w:rsidRDefault="00000000" w:rsidRPr="00000000" w14:paraId="00000027">
      <w:pPr>
        <w:spacing w:after="120" w:lineRule="auto"/>
        <w:ind w:left="567" w:firstLine="0"/>
        <w:rPr>
          <w:b w:val="1"/>
          <w:sz w:val="22"/>
          <w:szCs w:val="22"/>
        </w:rPr>
      </w:pPr>
      <w:r w:rsidDel="00000000" w:rsidR="00000000" w:rsidRPr="00000000">
        <w:rPr>
          <w:b w:val="1"/>
          <w:sz w:val="22"/>
          <w:szCs w:val="22"/>
          <w:rtl w:val="0"/>
        </w:rPr>
        <w:t xml:space="preserve">These above listed documents make up the contract. They shall be deemed to be mutually explanatory. In cases of ambiguity or divergence, they shall prevail in the order in which they appear above. Addenda shall have the order of precedence of the document they are amending. </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before="240" w:lineRule="auto"/>
        <w:ind w:left="567" w:hanging="567"/>
        <w:rPr>
          <w:b w:val="1"/>
          <w:color w:val="000000"/>
        </w:rPr>
      </w:pPr>
      <w:r w:rsidDel="00000000" w:rsidR="00000000" w:rsidRPr="00000000">
        <w:rPr>
          <w:b w:val="1"/>
          <w:color w:val="000000"/>
          <w:rtl w:val="0"/>
        </w:rPr>
        <w:t xml:space="preserve">(4)</w:t>
        <w:tab/>
        <w:t xml:space="preserve">Language of the contract</w:t>
      </w:r>
    </w:p>
    <w:p w:rsidR="00000000" w:rsidDel="00000000" w:rsidP="00000000" w:rsidRDefault="00000000" w:rsidRPr="00000000" w14:paraId="00000029">
      <w:pPr>
        <w:spacing w:after="120" w:lineRule="auto"/>
        <w:ind w:left="567" w:firstLine="0"/>
        <w:rPr>
          <w:sz w:val="22"/>
          <w:szCs w:val="22"/>
        </w:rPr>
      </w:pPr>
      <w:r w:rsidDel="00000000" w:rsidR="00000000" w:rsidRPr="00000000">
        <w:rPr>
          <w:sz w:val="22"/>
          <w:szCs w:val="22"/>
          <w:rtl w:val="0"/>
        </w:rPr>
        <w:t xml:space="preserve">The language of the contract and of all written communications between the contractor and the contracting authority and/or the project manager shall be English.</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before="240" w:lineRule="auto"/>
        <w:ind w:left="567" w:hanging="567"/>
        <w:rPr>
          <w:b w:val="1"/>
          <w:color w:val="000000"/>
        </w:rPr>
      </w:pPr>
      <w:bookmarkStart w:colFirst="0" w:colLast="0" w:name="_heading=h.lxthmwdsyt7g" w:id="0"/>
      <w:bookmarkEnd w:id="0"/>
      <w:r w:rsidDel="00000000" w:rsidR="00000000" w:rsidRPr="00000000">
        <w:rPr>
          <w:b w:val="1"/>
          <w:color w:val="000000"/>
          <w:rtl w:val="0"/>
        </w:rPr>
        <w:t xml:space="preserve">(5)</w:t>
        <w:tab/>
        <w:t xml:space="preserve">Other specific conditions applying to the contract</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20" w:lineRule="auto"/>
        <w:ind w:left="709" w:hanging="709"/>
        <w:rPr>
          <w:color w:val="000000"/>
          <w:sz w:val="22"/>
          <w:szCs w:val="22"/>
          <w:highlight w:val="lightGray"/>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20" w:lineRule="auto"/>
        <w:ind w:left="709" w:hanging="709"/>
        <w:rPr>
          <w:color w:val="000000"/>
          <w:sz w:val="22"/>
          <w:szCs w:val="22"/>
        </w:rPr>
      </w:pPr>
      <w:r w:rsidDel="00000000" w:rsidR="00000000" w:rsidRPr="00000000">
        <w:rPr>
          <w:color w:val="000000"/>
          <w:sz w:val="22"/>
          <w:szCs w:val="22"/>
          <w:rtl w:val="0"/>
        </w:rPr>
        <w:t xml:space="preserve">The following conditions to the contract shall apply:</w:t>
      </w:r>
    </w:p>
    <w:p w:rsidR="00000000" w:rsidDel="00000000" w:rsidP="00000000" w:rsidRDefault="00000000" w:rsidRPr="00000000" w14:paraId="0000002D">
      <w:pPr>
        <w:spacing w:before="120" w:lineRule="auto"/>
        <w:rPr>
          <w:sz w:val="22"/>
          <w:szCs w:val="22"/>
        </w:rPr>
      </w:pPr>
      <w:r w:rsidDel="00000000" w:rsidR="00000000" w:rsidRPr="00000000">
        <w:rPr>
          <w:color w:val="000000"/>
          <w:sz w:val="22"/>
          <w:szCs w:val="22"/>
          <w:rtl w:val="0"/>
        </w:rPr>
        <w:t xml:space="preserve">For the purpose of</w:t>
      </w:r>
      <w:r w:rsidDel="00000000" w:rsidR="00000000" w:rsidRPr="00000000">
        <w:rPr>
          <w:color w:val="0000ff"/>
          <w:sz w:val="22"/>
          <w:szCs w:val="22"/>
          <w:u w:val="single"/>
          <w:rtl w:val="0"/>
        </w:rPr>
        <w:t xml:space="preserve"> </w:t>
      </w:r>
      <w:r w:rsidDel="00000000" w:rsidR="00000000" w:rsidRPr="00000000">
        <w:rPr>
          <w:sz w:val="22"/>
          <w:szCs w:val="22"/>
          <w:rtl w:val="0"/>
        </w:rPr>
        <w:t xml:space="preserve">Article 42 of the general conditions, for the part of the data transferred by the contracting authority to the European Commission:</w:t>
      </w:r>
    </w:p>
    <w:p w:rsidR="00000000" w:rsidDel="00000000" w:rsidP="00000000" w:rsidRDefault="00000000" w:rsidRPr="00000000" w14:paraId="0000002E">
      <w:pPr>
        <w:spacing w:before="120" w:lineRule="auto"/>
        <w:ind w:left="426" w:firstLine="0"/>
        <w:rPr>
          <w:sz w:val="22"/>
          <w:szCs w:val="22"/>
        </w:rPr>
      </w:pPr>
      <w:r w:rsidDel="00000000" w:rsidR="00000000" w:rsidRPr="00000000">
        <w:rPr>
          <w:sz w:val="22"/>
          <w:szCs w:val="22"/>
          <w:rtl w:val="0"/>
        </w:rPr>
        <w:t xml:space="preserve">(a) the controller for the processing of personal data carried out within the Commission is</w:t>
      </w:r>
    </w:p>
    <w:p w:rsidR="00000000" w:rsidDel="00000000" w:rsidP="00000000" w:rsidRDefault="00000000" w:rsidRPr="00000000" w14:paraId="0000002F">
      <w:pPr>
        <w:spacing w:before="120" w:lineRule="auto"/>
        <w:rPr>
          <w:sz w:val="22"/>
          <w:szCs w:val="22"/>
        </w:rPr>
      </w:pPr>
      <w:r w:rsidDel="00000000" w:rsidR="00000000" w:rsidRPr="00000000">
        <w:rPr>
          <w:rtl w:val="0"/>
        </w:rPr>
      </w:r>
    </w:p>
    <w:p w:rsidR="00000000" w:rsidDel="00000000" w:rsidP="00000000" w:rsidRDefault="00000000" w:rsidRPr="00000000" w14:paraId="00000030">
      <w:pPr>
        <w:spacing w:after="280" w:before="280" w:lineRule="auto"/>
        <w:ind w:left="426" w:firstLine="0"/>
        <w:jc w:val="left"/>
        <w:rPr>
          <w:color w:val="0563c1"/>
          <w:sz w:val="22"/>
          <w:szCs w:val="22"/>
          <w:u w:val="single"/>
        </w:rPr>
      </w:pPr>
      <w:r w:rsidDel="00000000" w:rsidR="00000000" w:rsidRPr="00000000">
        <w:rPr>
          <w:sz w:val="22"/>
          <w:szCs w:val="22"/>
          <w:rtl w:val="0"/>
        </w:rPr>
        <w:t xml:space="preserve">(b) the data protection notice is available at </w:t>
      </w:r>
      <w:hyperlink r:id="rId8">
        <w:r w:rsidDel="00000000" w:rsidR="00000000" w:rsidRPr="00000000">
          <w:rPr>
            <w:color w:val="0000ff"/>
            <w:sz w:val="22"/>
            <w:szCs w:val="22"/>
            <w:u w:val="single"/>
            <w:rtl w:val="0"/>
          </w:rPr>
          <w:t xml:space="preserve">https://wikis.ec.europa.eu/display/ExactExternalWiki/Annexes#Annexes-AnnexesA(Ch.2):General</w:t>
        </w:r>
      </w:hyperlink>
      <w:r w:rsidDel="00000000" w:rsidR="00000000" w:rsidRPr="00000000">
        <w:rPr>
          <w:color w:val="0000ff"/>
          <w:sz w:val="22"/>
          <w:szCs w:val="22"/>
          <w:highlight w:val="yellow"/>
          <w:u w:val="single"/>
          <w:rtl w:val="0"/>
        </w:rPr>
        <w:t xml:space="preserve">]</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20" w:lineRule="auto"/>
        <w:rPr>
          <w:color w:val="000000"/>
          <w:sz w:val="22"/>
          <w:szCs w:val="22"/>
        </w:rPr>
      </w:pPr>
      <w:r w:rsidDel="00000000" w:rsidR="00000000" w:rsidRPr="00000000">
        <w:rPr>
          <w:rtl w:val="0"/>
        </w:rPr>
      </w:r>
    </w:p>
    <w:p w:rsidR="00000000" w:rsidDel="00000000" w:rsidP="00000000" w:rsidRDefault="00000000" w:rsidRPr="00000000" w14:paraId="00000032">
      <w:pPr>
        <w:keepNext w:val="1"/>
        <w:keepLines w:val="1"/>
        <w:tabs>
          <w:tab w:val="left" w:leader="none" w:pos="0"/>
        </w:tabs>
        <w:spacing w:after="120" w:before="240" w:lineRule="auto"/>
        <w:rPr>
          <w:sz w:val="22"/>
          <w:szCs w:val="22"/>
        </w:rPr>
      </w:pPr>
      <w:r w:rsidDel="00000000" w:rsidR="00000000" w:rsidRPr="00000000">
        <w:rPr>
          <w:sz w:val="22"/>
          <w:szCs w:val="22"/>
          <w:rtl w:val="0"/>
        </w:rPr>
        <w:t xml:space="preserve">Done in English in three originals:</w:t>
      </w:r>
      <w:r w:rsidDel="00000000" w:rsidR="00000000" w:rsidRPr="00000000">
        <w:rPr>
          <w:i w:val="1"/>
          <w:sz w:val="22"/>
          <w:szCs w:val="22"/>
          <w:rtl w:val="0"/>
        </w:rPr>
        <w:t xml:space="preserve"> </w:t>
      </w:r>
      <w:r w:rsidDel="00000000" w:rsidR="00000000" w:rsidRPr="00000000">
        <w:rPr>
          <w:sz w:val="22"/>
          <w:szCs w:val="22"/>
          <w:rtl w:val="0"/>
        </w:rPr>
        <w:t xml:space="preserve">one original for the contracting authority, one original for the European Commission, and one original for the contractor.</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20" w:lineRule="auto"/>
        <w:ind w:left="709" w:hanging="709"/>
        <w:rPr>
          <w:color w:val="000000"/>
          <w:sz w:val="22"/>
          <w:szCs w:val="22"/>
        </w:rPr>
      </w:pPr>
      <w:r w:rsidDel="00000000" w:rsidR="00000000" w:rsidRPr="00000000">
        <w:rPr>
          <w:rtl w:val="0"/>
        </w:rPr>
      </w:r>
    </w:p>
    <w:tbl>
      <w:tblPr>
        <w:tblStyle w:val="Table1"/>
        <w:tblW w:w="9723.0" w:type="dxa"/>
        <w:jc w:val="left"/>
        <w:tblInd w:w="-115.0" w:type="dxa"/>
        <w:tblLayout w:type="fixed"/>
        <w:tblLook w:val="0000"/>
      </w:tblPr>
      <w:tblGrid>
        <w:gridCol w:w="1599"/>
        <w:gridCol w:w="3259"/>
        <w:gridCol w:w="2540"/>
        <w:gridCol w:w="2325"/>
        <w:tblGridChange w:id="0">
          <w:tblGrid>
            <w:gridCol w:w="1599"/>
            <w:gridCol w:w="3259"/>
            <w:gridCol w:w="2540"/>
            <w:gridCol w:w="2325"/>
          </w:tblGrid>
        </w:tblGridChange>
      </w:tblGrid>
      <w:tr>
        <w:trPr>
          <w:cantSplit w:val="0"/>
          <w:tblHeader w:val="0"/>
        </w:trPr>
        <w:tc>
          <w:tcPr>
            <w:gridSpan w:val="2"/>
          </w:tcPr>
          <w:p w:rsidR="00000000" w:rsidDel="00000000" w:rsidP="00000000" w:rsidRDefault="00000000" w:rsidRPr="00000000" w14:paraId="00000034">
            <w:pPr>
              <w:keepNext w:val="1"/>
              <w:keepLines w:val="1"/>
              <w:pBdr>
                <w:top w:space="0" w:sz="0" w:val="nil"/>
                <w:left w:space="0" w:sz="0" w:val="nil"/>
                <w:bottom w:space="0" w:sz="0" w:val="nil"/>
                <w:right w:space="0" w:sz="0" w:val="nil"/>
                <w:between w:space="0" w:sz="0" w:val="nil"/>
              </w:pBdr>
              <w:spacing w:after="120" w:lineRule="auto"/>
              <w:rPr>
                <w:b w:val="1"/>
                <w:color w:val="000000"/>
                <w:sz w:val="22"/>
                <w:szCs w:val="22"/>
              </w:rPr>
            </w:pPr>
            <w:r w:rsidDel="00000000" w:rsidR="00000000" w:rsidRPr="00000000">
              <w:rPr>
                <w:b w:val="1"/>
                <w:color w:val="000000"/>
                <w:sz w:val="22"/>
                <w:szCs w:val="22"/>
                <w:rtl w:val="0"/>
              </w:rPr>
              <w:t xml:space="preserve">For the contractor</w:t>
            </w:r>
          </w:p>
        </w:tc>
        <w:tc>
          <w:tcPr>
            <w:gridSpan w:val="2"/>
          </w:tcPr>
          <w:p w:rsidR="00000000" w:rsidDel="00000000" w:rsidP="00000000" w:rsidRDefault="00000000" w:rsidRPr="00000000" w14:paraId="00000036">
            <w:pPr>
              <w:keepNext w:val="1"/>
              <w:keepLines w:val="1"/>
              <w:pBdr>
                <w:top w:space="0" w:sz="0" w:val="nil"/>
                <w:left w:space="0" w:sz="0" w:val="nil"/>
                <w:bottom w:space="0" w:sz="0" w:val="nil"/>
                <w:right w:space="0" w:sz="0" w:val="nil"/>
                <w:between w:space="0" w:sz="0" w:val="nil"/>
              </w:pBdr>
              <w:spacing w:after="120" w:lineRule="auto"/>
              <w:rPr>
                <w:b w:val="1"/>
                <w:color w:val="000000"/>
                <w:sz w:val="22"/>
                <w:szCs w:val="22"/>
              </w:rPr>
            </w:pPr>
            <w:r w:rsidDel="00000000" w:rsidR="00000000" w:rsidRPr="00000000">
              <w:rPr>
                <w:b w:val="1"/>
                <w:color w:val="000000"/>
                <w:sz w:val="22"/>
                <w:szCs w:val="22"/>
                <w:rtl w:val="0"/>
              </w:rPr>
              <w:t xml:space="preserve">For the contracting authority</w:t>
            </w:r>
          </w:p>
        </w:tc>
      </w:tr>
      <w:tr>
        <w:trPr>
          <w:cantSplit w:val="1"/>
          <w:tblHeader w:val="0"/>
        </w:trPr>
        <w:tc>
          <w:tcPr/>
          <w:p w:rsidR="00000000" w:rsidDel="00000000" w:rsidP="00000000" w:rsidRDefault="00000000" w:rsidRPr="00000000" w14:paraId="00000038">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Name:</w:t>
            </w:r>
          </w:p>
        </w:tc>
        <w:tc>
          <w:tcPr/>
          <w:p w:rsidR="00000000" w:rsidDel="00000000" w:rsidP="00000000" w:rsidRDefault="00000000" w:rsidRPr="00000000" w14:paraId="00000039">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3A">
            <w:pPr>
              <w:keepNext w:val="1"/>
              <w:keepLines w:val="1"/>
              <w:pBdr>
                <w:top w:space="0" w:sz="0" w:val="nil"/>
                <w:left w:space="0" w:sz="0" w:val="nil"/>
                <w:bottom w:space="0" w:sz="0" w:val="nil"/>
                <w:right w:space="0" w:sz="0" w:val="nil"/>
                <w:between w:space="0" w:sz="0" w:val="nil"/>
              </w:pBdr>
              <w:spacing w:after="160" w:before="160" w:lineRule="auto"/>
              <w:ind w:right="-330"/>
              <w:rPr>
                <w:color w:val="000000"/>
                <w:sz w:val="22"/>
                <w:szCs w:val="22"/>
              </w:rPr>
            </w:pPr>
            <w:r w:rsidDel="00000000" w:rsidR="00000000" w:rsidRPr="00000000">
              <w:rPr>
                <w:color w:val="000000"/>
                <w:sz w:val="22"/>
                <w:szCs w:val="22"/>
                <w:rtl w:val="0"/>
              </w:rPr>
              <w:t xml:space="preserve">Name: Serkan Baysak</w:t>
            </w:r>
          </w:p>
        </w:tc>
        <w:tc>
          <w:tcPr/>
          <w:p w:rsidR="00000000" w:rsidDel="00000000" w:rsidP="00000000" w:rsidRDefault="00000000" w:rsidRPr="00000000" w14:paraId="0000003B">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3C">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Title:</w:t>
            </w:r>
          </w:p>
        </w:tc>
        <w:tc>
          <w:tcPr/>
          <w:p w:rsidR="00000000" w:rsidDel="00000000" w:rsidP="00000000" w:rsidRDefault="00000000" w:rsidRPr="00000000" w14:paraId="0000003D">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3E">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Title: President</w:t>
            </w:r>
          </w:p>
        </w:tc>
        <w:tc>
          <w:tcPr/>
          <w:p w:rsidR="00000000" w:rsidDel="00000000" w:rsidP="00000000" w:rsidRDefault="00000000" w:rsidRPr="00000000" w14:paraId="0000003F">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40">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41">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42">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Signature:</w:t>
            </w:r>
          </w:p>
        </w:tc>
        <w:tc>
          <w:tcPr/>
          <w:p w:rsidR="00000000" w:rsidDel="00000000" w:rsidP="00000000" w:rsidRDefault="00000000" w:rsidRPr="00000000" w14:paraId="00000043">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44">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45">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c>
          <w:tcPr/>
          <w:p w:rsidR="00000000" w:rsidDel="00000000" w:rsidP="00000000" w:rsidRDefault="00000000" w:rsidRPr="00000000" w14:paraId="00000046">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color w:val="000000"/>
                <w:sz w:val="22"/>
                <w:szCs w:val="22"/>
                <w:rtl w:val="0"/>
              </w:rPr>
              <w:t xml:space="preserve">Date:</w:t>
            </w:r>
          </w:p>
        </w:tc>
        <w:tc>
          <w:tcPr/>
          <w:p w:rsidR="00000000" w:rsidDel="00000000" w:rsidP="00000000" w:rsidRDefault="00000000" w:rsidRPr="00000000" w14:paraId="00000047">
            <w:pPr>
              <w:keepNext w:val="1"/>
              <w:keepLines w:val="1"/>
              <w:pBdr>
                <w:top w:space="0" w:sz="0" w:val="nil"/>
                <w:left w:space="0" w:sz="0" w:val="nil"/>
                <w:bottom w:space="0" w:sz="0" w:val="nil"/>
                <w:right w:space="0" w:sz="0" w:val="nil"/>
                <w:between w:space="0" w:sz="0" w:val="nil"/>
              </w:pBdr>
              <w:spacing w:after="160" w:before="160" w:lineRule="auto"/>
              <w:rPr>
                <w:color w:val="000000"/>
                <w:sz w:val="22"/>
                <w:szCs w:val="22"/>
              </w:rPr>
            </w:pPr>
            <w:r w:rsidDel="00000000" w:rsidR="00000000" w:rsidRPr="00000000">
              <w:rPr>
                <w:rtl w:val="0"/>
              </w:rPr>
            </w:r>
          </w:p>
        </w:tc>
      </w:tr>
    </w:tbl>
    <w:p w:rsidR="00000000" w:rsidDel="00000000" w:rsidP="00000000" w:rsidRDefault="00000000" w:rsidRPr="00000000" w14:paraId="00000048">
      <w:pPr>
        <w:jc w:val="center"/>
        <w:rPr>
          <w:b w:val="1"/>
          <w:sz w:val="28"/>
          <w:szCs w:val="28"/>
        </w:rPr>
      </w:pPr>
      <w:r w:rsidDel="00000000" w:rsidR="00000000" w:rsidRPr="00000000">
        <w:br w:type="page"/>
      </w:r>
      <w:r w:rsidDel="00000000" w:rsidR="00000000" w:rsidRPr="00000000">
        <w:rPr>
          <w:b w:val="1"/>
          <w:sz w:val="28"/>
          <w:szCs w:val="28"/>
          <w:rtl w:val="0"/>
        </w:rPr>
        <w:t xml:space="preserve">SPECIAL CONDITIONS</w:t>
      </w:r>
    </w:p>
    <w:p w:rsidR="00000000" w:rsidDel="00000000" w:rsidP="00000000" w:rsidRDefault="00000000" w:rsidRPr="00000000" w14:paraId="00000049">
      <w:pPr>
        <w:rPr>
          <w:sz w:val="22"/>
          <w:szCs w:val="22"/>
        </w:rPr>
      </w:pPr>
      <w:r w:rsidDel="00000000" w:rsidR="00000000" w:rsidRPr="00000000">
        <w:rPr>
          <w:sz w:val="22"/>
          <w:szCs w:val="22"/>
          <w:rtl w:val="0"/>
        </w:rPr>
        <w:t xml:space="preserve">These conditions amplify and supplement the general conditions governing the contract. Unless the special conditions provide otherwise, the general conditions remain fully applicable. The numbering of the articles of the special conditions is not consecutive but follows the numbering of the general conditions. Exceptionally, and with the approval of the competent European Commission departments, other clauses can be indicated to cover particular situations. </w:t>
      </w:r>
    </w:p>
    <w:p w:rsidR="00000000" w:rsidDel="00000000" w:rsidP="00000000" w:rsidRDefault="00000000" w:rsidRPr="00000000" w14:paraId="0000004A">
      <w:pPr>
        <w:spacing w:after="120" w:before="240" w:lineRule="auto"/>
        <w:ind w:left="1134" w:hanging="1134"/>
        <w:rPr>
          <w:b w:val="1"/>
        </w:rPr>
      </w:pPr>
      <w:r w:rsidDel="00000000" w:rsidR="00000000" w:rsidRPr="00000000">
        <w:rPr>
          <w:b w:val="1"/>
          <w:rtl w:val="0"/>
        </w:rPr>
        <w:t xml:space="preserve">Article 2</w:t>
        <w:tab/>
        <w:t xml:space="preserve">Communications</w:t>
      </w:r>
    </w:p>
    <w:p w:rsidR="00000000" w:rsidDel="00000000" w:rsidP="00000000" w:rsidRDefault="00000000" w:rsidRPr="00000000" w14:paraId="0000004B">
      <w:pPr>
        <w:widowControl w:val="0"/>
        <w:spacing w:after="100" w:before="100" w:lineRule="auto"/>
        <w:jc w:val="right"/>
        <w:rPr>
          <w:sz w:val="22"/>
          <w:szCs w:val="22"/>
        </w:rPr>
      </w:pPr>
      <w:r w:rsidDel="00000000" w:rsidR="00000000" w:rsidRPr="00000000">
        <w:rPr>
          <w:sz w:val="22"/>
          <w:szCs w:val="22"/>
          <w:rtl w:val="0"/>
        </w:rPr>
        <w:t xml:space="preserve">2.1</w:t>
        <w:tab/>
        <w:tab/>
      </w:r>
      <w:r w:rsidDel="00000000" w:rsidR="00000000" w:rsidRPr="00000000">
        <w:rPr>
          <w:sz w:val="22"/>
          <w:szCs w:val="22"/>
          <w:highlight w:val="white"/>
          <w:rtl w:val="0"/>
        </w:rPr>
        <w:t xml:space="preserve">REDI Türkiye (ROMAN GİRİŞİMCİLİĞİNİ GELİŞTİRME İNİSİYATİFİ DERNEĞİ)</w:t>
      </w:r>
      <w:r w:rsidDel="00000000" w:rsidR="00000000" w:rsidRPr="00000000">
        <w:rPr>
          <w:rtl w:val="0"/>
        </w:rPr>
      </w:r>
    </w:p>
    <w:p w:rsidR="00000000" w:rsidDel="00000000" w:rsidP="00000000" w:rsidRDefault="00000000" w:rsidRPr="00000000" w14:paraId="0000004C">
      <w:pPr>
        <w:widowControl w:val="0"/>
        <w:spacing w:after="100" w:before="100" w:lineRule="auto"/>
        <w:ind w:left="567" w:firstLine="154.00000000000006"/>
        <w:rPr>
          <w:sz w:val="22"/>
          <w:szCs w:val="22"/>
          <w:highlight w:val="white"/>
        </w:rPr>
      </w:pPr>
      <w:r w:rsidDel="00000000" w:rsidR="00000000" w:rsidRPr="00000000">
        <w:rPr>
          <w:sz w:val="22"/>
          <w:szCs w:val="22"/>
          <w:rtl w:val="0"/>
        </w:rPr>
        <w:t xml:space="preserve">Bahçelievler, 1851/10. Sokak No:3, 35600 Karşıyaka, Izmir, Türkiye</w:t>
      </w:r>
      <w:r w:rsidDel="00000000" w:rsidR="00000000" w:rsidRPr="00000000">
        <w:rPr>
          <w:rtl w:val="0"/>
        </w:rPr>
      </w:r>
    </w:p>
    <w:p w:rsidR="00000000" w:rsidDel="00000000" w:rsidP="00000000" w:rsidRDefault="00000000" w:rsidRPr="00000000" w14:paraId="0000004D">
      <w:pPr>
        <w:keepNext w:val="1"/>
        <w:keepLines w:val="1"/>
        <w:spacing w:after="120" w:lineRule="auto"/>
        <w:ind w:left="1287" w:hanging="566"/>
        <w:rPr>
          <w:sz w:val="22"/>
          <w:szCs w:val="22"/>
        </w:rPr>
      </w:pPr>
      <w:r w:rsidDel="00000000" w:rsidR="00000000" w:rsidRPr="00000000">
        <w:rPr>
          <w:sz w:val="22"/>
          <w:szCs w:val="22"/>
          <w:rtl w:val="0"/>
        </w:rPr>
        <w:t xml:space="preserve">betul@redi-ngo.eu</w:t>
      </w:r>
    </w:p>
    <w:p w:rsidR="00000000" w:rsidDel="00000000" w:rsidP="00000000" w:rsidRDefault="00000000" w:rsidRPr="00000000" w14:paraId="0000004E">
      <w:pPr>
        <w:keepNext w:val="1"/>
        <w:keepLines w:val="1"/>
        <w:spacing w:after="120" w:lineRule="auto"/>
        <w:ind w:left="1287" w:hanging="566"/>
        <w:rPr>
          <w:i w:val="1"/>
          <w:sz w:val="22"/>
          <w:szCs w:val="22"/>
        </w:rPr>
      </w:pPr>
      <w:r w:rsidDel="00000000" w:rsidR="00000000" w:rsidRPr="00000000">
        <w:rPr>
          <w:sz w:val="22"/>
          <w:szCs w:val="22"/>
          <w:rtl w:val="0"/>
        </w:rPr>
        <w:t xml:space="preserve">Tenderers contact information to be inserted</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1134"/>
        </w:tabs>
        <w:ind w:left="567" w:hanging="567"/>
        <w:rPr>
          <w:b w:val="1"/>
          <w:color w:val="000000"/>
        </w:rPr>
      </w:pPr>
      <w:r w:rsidDel="00000000" w:rsidR="00000000" w:rsidRPr="00000000">
        <w:rPr>
          <w:b w:val="1"/>
          <w:color w:val="000000"/>
          <w:rtl w:val="0"/>
        </w:rPr>
        <w:t xml:space="preserve">Article 7</w:t>
        <w:tab/>
        <w:t xml:space="preserve">General obligations</w:t>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567" w:hanging="567"/>
        <w:rPr>
          <w:color w:val="000000"/>
          <w:sz w:val="22"/>
          <w:szCs w:val="22"/>
        </w:rPr>
      </w:pPr>
      <w:r w:rsidDel="00000000" w:rsidR="00000000" w:rsidRPr="00000000">
        <w:rPr>
          <w:color w:val="000000"/>
          <w:sz w:val="22"/>
          <w:szCs w:val="22"/>
          <w:rtl w:val="0"/>
        </w:rPr>
        <w:t xml:space="preserve">7.8</w:t>
        <w:tab/>
      </w:r>
      <w:r w:rsidDel="00000000" w:rsidR="00000000" w:rsidRPr="00000000">
        <w:rPr>
          <w:sz w:val="22"/>
          <w:szCs w:val="22"/>
          <w:rtl w:val="0"/>
        </w:rPr>
        <w:t xml:space="preserve">All support-based developed materials, including but not limited to individual plans, strategies, and recommendations, as well as other mentorship sessions’ outputs </w:t>
      </w:r>
      <w:r w:rsidDel="00000000" w:rsidR="00000000" w:rsidRPr="00000000">
        <w:rPr>
          <w:color w:val="000000"/>
          <w:sz w:val="22"/>
          <w:szCs w:val="22"/>
          <w:rtl w:val="0"/>
        </w:rPr>
        <w:t xml:space="preserve"> must comply with the latest Communication and Visibility Requirements for EU-funded external action, laid down and published by the European Commission.</w:t>
      </w:r>
    </w:p>
    <w:p w:rsidR="00000000" w:rsidDel="00000000" w:rsidP="00000000" w:rsidRDefault="00000000" w:rsidRPr="00000000" w14:paraId="00000051">
      <w:pPr>
        <w:tabs>
          <w:tab w:val="left" w:leader="none" w:pos="1134"/>
        </w:tabs>
        <w:spacing w:after="120" w:before="240" w:lineRule="auto"/>
        <w:ind w:left="1134" w:hanging="1134"/>
        <w:rPr>
          <w:b w:val="1"/>
        </w:rPr>
      </w:pPr>
      <w:r w:rsidDel="00000000" w:rsidR="00000000" w:rsidRPr="00000000">
        <w:rPr>
          <w:b w:val="1"/>
          <w:rtl w:val="0"/>
        </w:rPr>
        <w:t xml:space="preserve">Article 12 - Liabilities</w:t>
      </w:r>
    </w:p>
    <w:p w:rsidR="00000000" w:rsidDel="00000000" w:rsidP="00000000" w:rsidRDefault="00000000" w:rsidRPr="00000000" w14:paraId="00000052">
      <w:pPr>
        <w:tabs>
          <w:tab w:val="left" w:leader="none" w:pos="567"/>
        </w:tabs>
        <w:spacing w:after="120" w:before="240" w:lineRule="auto"/>
        <w:ind w:left="1134" w:hanging="1134"/>
        <w:rPr>
          <w:sz w:val="22"/>
          <w:szCs w:val="22"/>
        </w:rPr>
      </w:pPr>
      <w:r w:rsidDel="00000000" w:rsidR="00000000" w:rsidRPr="00000000">
        <w:rPr>
          <w:sz w:val="22"/>
          <w:szCs w:val="22"/>
          <w:rtl w:val="0"/>
        </w:rPr>
        <w:t xml:space="preserve">12.2 </w:t>
        <w:tab/>
        <w:t xml:space="preserve">[For contracts of amount below one million EUR: in some cases capping contractors liability to one million EUR may be disproportional compared to the content of this contract. This is especially the case where the financial risk is low, for instance for technical assistance or studies. If you find it necessary to set a cap lower than that referred to in the general conditions, add the following clause:</w:t>
      </w:r>
    </w:p>
    <w:p w:rsidR="00000000" w:rsidDel="00000000" w:rsidP="00000000" w:rsidRDefault="00000000" w:rsidRPr="00000000" w14:paraId="00000053">
      <w:pPr>
        <w:tabs>
          <w:tab w:val="left" w:leader="none" w:pos="600"/>
        </w:tabs>
        <w:spacing w:after="120" w:before="240" w:lineRule="auto"/>
        <w:ind w:left="600" w:hanging="1134"/>
        <w:rPr>
          <w:b w:val="1"/>
        </w:rPr>
      </w:pPr>
      <w:r w:rsidDel="00000000" w:rsidR="00000000" w:rsidRPr="00000000">
        <w:rPr>
          <w:sz w:val="22"/>
          <w:szCs w:val="22"/>
          <w:rtl w:val="0"/>
        </w:rPr>
        <w:tab/>
        <w:t xml:space="preserve">By way of derogation from Article 12.2, paragraph 2, of the general conditions, compensation for damage resulting from the contractor's liability in respect of the contracting authority is capped at an amount equal to </w:t>
      </w:r>
      <w:r w:rsidDel="00000000" w:rsidR="00000000" w:rsidRPr="00000000">
        <w:rPr>
          <w:sz w:val="22"/>
          <w:szCs w:val="22"/>
          <w:highlight w:val="yellow"/>
          <w:rtl w:val="0"/>
        </w:rPr>
        <w:t xml:space="preserve">10,000 EUR.</w:t>
      </w:r>
      <w:r w:rsidDel="00000000" w:rsidR="00000000" w:rsidRPr="00000000">
        <w:rPr>
          <w:sz w:val="22"/>
          <w:szCs w:val="22"/>
          <w:rtl w:val="0"/>
        </w:rPr>
        <w:t xml:space="preserve"> </w:t>
      </w:r>
      <w:r w:rsidDel="00000000" w:rsidR="00000000" w:rsidRPr="00000000">
        <w:rPr>
          <w:rtl w:val="0"/>
        </w:rPr>
      </w:r>
    </w:p>
    <w:p w:rsidR="00000000" w:rsidDel="00000000" w:rsidP="00000000" w:rsidRDefault="00000000" w:rsidRPr="00000000" w14:paraId="00000054">
      <w:pPr>
        <w:tabs>
          <w:tab w:val="left" w:leader="none" w:pos="1134"/>
        </w:tabs>
        <w:spacing w:after="120" w:before="240" w:lineRule="auto"/>
        <w:ind w:left="1134" w:hanging="1134"/>
        <w:rPr>
          <w:b w:val="1"/>
        </w:rPr>
      </w:pPr>
      <w:r w:rsidDel="00000000" w:rsidR="00000000" w:rsidRPr="00000000">
        <w:rPr>
          <w:b w:val="1"/>
          <w:rtl w:val="0"/>
        </w:rPr>
        <w:t xml:space="preserve">Article 19</w:t>
        <w:tab/>
        <w:t xml:space="preserve">Implementation of the tasks and delays</w:t>
      </w:r>
    </w:p>
    <w:p w:rsidR="00000000" w:rsidDel="00000000" w:rsidP="00000000" w:rsidRDefault="00000000" w:rsidRPr="00000000" w14:paraId="00000055">
      <w:pPr>
        <w:spacing w:after="0" w:lineRule="auto"/>
        <w:ind w:left="567" w:hanging="567"/>
        <w:rPr>
          <w:sz w:val="22"/>
          <w:szCs w:val="22"/>
        </w:rPr>
      </w:pPr>
      <w:r w:rsidDel="00000000" w:rsidR="00000000" w:rsidRPr="00000000">
        <w:rPr>
          <w:sz w:val="22"/>
          <w:szCs w:val="22"/>
          <w:rtl w:val="0"/>
        </w:rPr>
        <w:t xml:space="preserve">19.1</w:t>
      </w:r>
      <w:r w:rsidDel="00000000" w:rsidR="00000000" w:rsidRPr="00000000">
        <w:rPr>
          <w:b w:val="1"/>
          <w:sz w:val="22"/>
          <w:szCs w:val="22"/>
          <w:rtl w:val="0"/>
        </w:rPr>
        <w:tab/>
      </w:r>
      <w:r w:rsidDel="00000000" w:rsidR="00000000" w:rsidRPr="00000000">
        <w:rPr>
          <w:sz w:val="22"/>
          <w:szCs w:val="22"/>
          <w:rtl w:val="0"/>
        </w:rPr>
        <w:t xml:space="preserve">The start date for implementation shall be 15/08/2025</w:t>
      </w:r>
    </w:p>
    <w:p w:rsidR="00000000" w:rsidDel="00000000" w:rsidP="00000000" w:rsidRDefault="00000000" w:rsidRPr="00000000" w14:paraId="00000056">
      <w:pPr>
        <w:spacing w:after="120" w:lineRule="auto"/>
        <w:ind w:left="567" w:hanging="567"/>
        <w:rPr>
          <w:sz w:val="22"/>
          <w:szCs w:val="22"/>
        </w:rPr>
      </w:pPr>
      <w:r w:rsidDel="00000000" w:rsidR="00000000" w:rsidRPr="00000000">
        <w:rPr>
          <w:sz w:val="22"/>
          <w:szCs w:val="22"/>
          <w:rtl w:val="0"/>
        </w:rPr>
        <w:t xml:space="preserve">19.2</w:t>
        <w:tab/>
        <w:t xml:space="preserve">The period for implementing the tasks is 6 months from the start date, with possible extension.</w:t>
      </w:r>
    </w:p>
    <w:p w:rsidR="00000000" w:rsidDel="00000000" w:rsidP="00000000" w:rsidRDefault="00000000" w:rsidRPr="00000000" w14:paraId="00000057">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26</w:t>
        <w:tab/>
        <w:t xml:space="preserve">Interim and final reports</w:t>
      </w:r>
    </w:p>
    <w:p w:rsidR="00000000" w:rsidDel="00000000" w:rsidP="00000000" w:rsidRDefault="00000000" w:rsidRPr="00000000" w14:paraId="00000058">
      <w:pPr>
        <w:spacing w:after="120" w:lineRule="auto"/>
        <w:rPr>
          <w:sz w:val="22"/>
          <w:szCs w:val="22"/>
        </w:rPr>
      </w:pPr>
      <w:r w:rsidDel="00000000" w:rsidR="00000000" w:rsidRPr="00000000">
        <w:rPr>
          <w:sz w:val="22"/>
          <w:szCs w:val="22"/>
          <w:rtl w:val="0"/>
        </w:rPr>
        <w:t xml:space="preserve">The contractor shall submit progress reports as specified in the terms of reference.</w:t>
      </w:r>
    </w:p>
    <w:p w:rsidR="00000000" w:rsidDel="00000000" w:rsidP="00000000" w:rsidRDefault="00000000" w:rsidRPr="00000000" w14:paraId="00000059">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27</w:t>
        <w:tab/>
        <w:t xml:space="preserve">Approval of reports and documents</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120" w:lineRule="auto"/>
        <w:ind w:left="567" w:hanging="567"/>
        <w:rPr>
          <w:color w:val="000000"/>
          <w:sz w:val="22"/>
          <w:szCs w:val="22"/>
        </w:rPr>
      </w:pPr>
      <w:r w:rsidDel="00000000" w:rsidR="00000000" w:rsidRPr="00000000">
        <w:rPr>
          <w:color w:val="000000"/>
          <w:sz w:val="22"/>
          <w:szCs w:val="22"/>
          <w:rtl w:val="0"/>
        </w:rPr>
        <w:t xml:space="preserve">27.5</w:t>
        <w:tab/>
        <w:t xml:space="preserve">The contracting authority shall, within 45 days of receipt, notify the contractor of its decision concerning the documents or reports received by it, giving reasons should it reject the reports or documents, or request amendments. If the contracting authority does not give any comments on the documents or reports within the time limit, the contractor may request written acceptance of them. The documents or reports shall be deemed to have been approved by the contracting authority if it does not expressly inform the contractor of any comments within 45 days of the receipt of the report. </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120" w:lineRule="auto"/>
        <w:ind w:left="709" w:hanging="709"/>
        <w:rPr>
          <w:b w:val="1"/>
          <w:color w:val="00000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120" w:lineRule="auto"/>
        <w:ind w:left="709" w:hanging="709"/>
        <w:rPr>
          <w:b w:val="1"/>
          <w:color w:val="00000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20" w:lineRule="auto"/>
        <w:ind w:left="709" w:hanging="709"/>
        <w:rPr>
          <w:b w:val="1"/>
          <w:color w:val="000000"/>
        </w:rPr>
      </w:pPr>
      <w:r w:rsidDel="00000000" w:rsidR="00000000" w:rsidRPr="00000000">
        <w:rPr>
          <w:b w:val="1"/>
          <w:color w:val="000000"/>
          <w:rtl w:val="0"/>
        </w:rPr>
        <w:t xml:space="preserve">Article 28</w:t>
        <w:tab/>
        <w:t xml:space="preserve">Expenditure verification</w:t>
      </w:r>
    </w:p>
    <w:p w:rsidR="00000000" w:rsidDel="00000000" w:rsidP="00000000" w:rsidRDefault="00000000" w:rsidRPr="00000000" w14:paraId="0000005E">
      <w:pPr>
        <w:widowControl w:val="0"/>
        <w:spacing w:after="100" w:before="100" w:lineRule="auto"/>
        <w:rPr>
          <w:sz w:val="22"/>
          <w:szCs w:val="22"/>
          <w:highlight w:val="white"/>
        </w:rPr>
      </w:pPr>
      <w:r w:rsidDel="00000000" w:rsidR="00000000" w:rsidRPr="00000000">
        <w:rPr>
          <w:color w:val="000000"/>
          <w:sz w:val="22"/>
          <w:szCs w:val="22"/>
          <w:rtl w:val="0"/>
        </w:rPr>
        <w:t xml:space="preserve">28.2</w:t>
        <w:tab/>
        <w:t xml:space="preserve">The expenditure verification(s) referred to in the general conditions will be carried out by</w:t>
      </w:r>
      <w:r w:rsidDel="00000000" w:rsidR="00000000" w:rsidRPr="00000000">
        <w:rPr>
          <w:sz w:val="22"/>
          <w:szCs w:val="22"/>
          <w:highlight w:val="white"/>
          <w:rtl w:val="0"/>
        </w:rPr>
        <w:t xml:space="preserve"> REDI Türkiye (ROMAN GİRİŞİMCİLİĞİNİ GELİŞTİRME İNİSİYATİFİ DERNEĞİ)</w:t>
      </w:r>
      <w:r w:rsidDel="00000000" w:rsidR="00000000" w:rsidRPr="00000000">
        <w:rPr>
          <w:sz w:val="22"/>
          <w:szCs w:val="22"/>
          <w:rtl w:val="0"/>
        </w:rPr>
        <w:t xml:space="preserve">; Bahçelievler, 1851/10. Sokak No:3, 35600 Karşıyaka, Izmir, Türkiye</w:t>
      </w:r>
      <w:r w:rsidDel="00000000" w:rsidR="00000000" w:rsidRPr="00000000">
        <w:rPr>
          <w:rtl w:val="0"/>
        </w:rPr>
      </w:r>
    </w:p>
    <w:p w:rsidR="00000000" w:rsidDel="00000000" w:rsidP="00000000" w:rsidRDefault="00000000" w:rsidRPr="00000000" w14:paraId="0000005F">
      <w:pPr>
        <w:widowControl w:val="0"/>
        <w:spacing w:after="100" w:before="100" w:lineRule="auto"/>
        <w:rPr>
          <w:sz w:val="22"/>
          <w:szCs w:val="22"/>
        </w:rPr>
      </w:pPr>
      <w:r w:rsidDel="00000000" w:rsidR="00000000" w:rsidRPr="00000000">
        <w:rPr>
          <w:sz w:val="22"/>
          <w:szCs w:val="22"/>
          <w:rtl w:val="0"/>
        </w:rPr>
        <w:t xml:space="preserve">betul@redi-ngo.eu</w:t>
      </w:r>
    </w:p>
    <w:p w:rsidR="00000000" w:rsidDel="00000000" w:rsidP="00000000" w:rsidRDefault="00000000" w:rsidRPr="00000000" w14:paraId="00000060">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29</w:t>
        <w:tab/>
        <w:t xml:space="preserve">Payment and interest on late payment</w:t>
      </w:r>
    </w:p>
    <w:p w:rsidR="00000000" w:rsidDel="00000000" w:rsidP="00000000" w:rsidRDefault="00000000" w:rsidRPr="00000000" w14:paraId="00000061">
      <w:pPr>
        <w:keepNext w:val="1"/>
        <w:keepLines w:val="1"/>
        <w:spacing w:after="120" w:lineRule="auto"/>
        <w:ind w:left="567" w:hanging="567"/>
        <w:rPr>
          <w:sz w:val="22"/>
          <w:szCs w:val="22"/>
          <w:highlight w:val="yellow"/>
        </w:rPr>
      </w:pPr>
      <w:r w:rsidDel="00000000" w:rsidR="00000000" w:rsidRPr="00000000">
        <w:rPr>
          <w:sz w:val="22"/>
          <w:szCs w:val="22"/>
          <w:rtl w:val="0"/>
        </w:rPr>
        <w:t xml:space="preserve">29.1</w:t>
        <w:tab/>
        <w:t xml:space="preserve">Payments will be made in accordance with the following the option:</w:t>
      </w:r>
      <w:r w:rsidDel="00000000" w:rsidR="00000000" w:rsidRPr="00000000">
        <w:rPr>
          <w:sz w:val="22"/>
          <w:szCs w:val="22"/>
          <w:highlight w:val="yellow"/>
          <w:rtl w:val="0"/>
        </w:rPr>
        <w:t xml:space="preserve"> </w:t>
      </w:r>
    </w:p>
    <w:tbl>
      <w:tblPr>
        <w:tblStyle w:val="Table2"/>
        <w:tblW w:w="8250.0" w:type="dxa"/>
        <w:jc w:val="left"/>
        <w:tblInd w:w="560.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076"/>
        <w:gridCol w:w="5698"/>
        <w:gridCol w:w="1476"/>
        <w:tblGridChange w:id="0">
          <w:tblGrid>
            <w:gridCol w:w="1076"/>
            <w:gridCol w:w="5698"/>
            <w:gridCol w:w="1476"/>
          </w:tblGrid>
        </w:tblGridChange>
      </w:tblGrid>
      <w:tr>
        <w:trPr>
          <w:cantSplit w:val="0"/>
          <w:trHeight w:val="334" w:hRule="atLeast"/>
          <w:tblHeader w:val="0"/>
        </w:trPr>
        <w:tc>
          <w:tcPr/>
          <w:p w:rsidR="00000000" w:rsidDel="00000000" w:rsidP="00000000" w:rsidRDefault="00000000" w:rsidRPr="00000000" w14:paraId="00000062">
            <w:pPr>
              <w:spacing w:after="40" w:before="40" w:lineRule="auto"/>
              <w:ind w:right="-25"/>
              <w:jc w:val="center"/>
              <w:rPr>
                <w:b w:val="1"/>
                <w:sz w:val="22"/>
                <w:szCs w:val="22"/>
              </w:rPr>
            </w:pPr>
            <w:r w:rsidDel="00000000" w:rsidR="00000000" w:rsidRPr="00000000">
              <w:rPr>
                <w:b w:val="1"/>
                <w:sz w:val="22"/>
                <w:szCs w:val="22"/>
                <w:rtl w:val="0"/>
              </w:rPr>
              <w:t xml:space="preserve">Month</w:t>
            </w:r>
          </w:p>
        </w:tc>
        <w:tc>
          <w:tcPr/>
          <w:p w:rsidR="00000000" w:rsidDel="00000000" w:rsidP="00000000" w:rsidRDefault="00000000" w:rsidRPr="00000000" w14:paraId="00000063">
            <w:pPr>
              <w:spacing w:after="40" w:before="40" w:lineRule="auto"/>
              <w:rPr>
                <w:b w:val="1"/>
                <w:sz w:val="22"/>
                <w:szCs w:val="22"/>
              </w:rPr>
            </w:pPr>
            <w:r w:rsidDel="00000000" w:rsidR="00000000" w:rsidRPr="00000000">
              <w:rPr>
                <w:rtl w:val="0"/>
              </w:rPr>
            </w:r>
          </w:p>
        </w:tc>
        <w:tc>
          <w:tcPr/>
          <w:p w:rsidR="00000000" w:rsidDel="00000000" w:rsidP="00000000" w:rsidRDefault="00000000" w:rsidRPr="00000000" w14:paraId="00000064">
            <w:pPr>
              <w:spacing w:after="40" w:before="40" w:lineRule="auto"/>
              <w:jc w:val="center"/>
              <w:rPr>
                <w:b w:val="1"/>
                <w:sz w:val="22"/>
                <w:szCs w:val="22"/>
              </w:rPr>
            </w:pPr>
            <w:r w:rsidDel="00000000" w:rsidR="00000000" w:rsidRPr="00000000">
              <w:rPr>
                <w:b w:val="1"/>
                <w:sz w:val="22"/>
                <w:szCs w:val="22"/>
                <w:rtl w:val="0"/>
              </w:rPr>
              <w:t xml:space="preserve">TRY</w:t>
            </w:r>
          </w:p>
        </w:tc>
      </w:tr>
      <w:tr>
        <w:trPr>
          <w:cantSplit w:val="0"/>
          <w:trHeight w:val="1018" w:hRule="atLeast"/>
          <w:tblHeader w:val="0"/>
        </w:trPr>
        <w:tc>
          <w:tcPr/>
          <w:p w:rsidR="00000000" w:rsidDel="00000000" w:rsidP="00000000" w:rsidRDefault="00000000" w:rsidRPr="00000000" w14:paraId="00000065">
            <w:pPr>
              <w:spacing w:after="40" w:before="40" w:lineRule="auto"/>
              <w:ind w:right="-25"/>
              <w:jc w:val="center"/>
              <w:rPr>
                <w:b w:val="1"/>
                <w:sz w:val="22"/>
                <w:szCs w:val="22"/>
              </w:rPr>
            </w:pPr>
            <w:r w:rsidDel="00000000" w:rsidR="00000000" w:rsidRPr="00000000">
              <w:rPr>
                <w:b w:val="1"/>
                <w:sz w:val="22"/>
                <w:szCs w:val="22"/>
                <w:rtl w:val="0"/>
              </w:rPr>
              <w:t xml:space="preserve">1</w:t>
            </w:r>
          </w:p>
        </w:tc>
        <w:tc>
          <w:tcPr/>
          <w:p w:rsidR="00000000" w:rsidDel="00000000" w:rsidP="00000000" w:rsidRDefault="00000000" w:rsidRPr="00000000" w14:paraId="00000066">
            <w:pPr>
              <w:spacing w:after="40" w:before="40" w:lineRule="auto"/>
              <w:rPr>
                <w:b w:val="1"/>
                <w:sz w:val="22"/>
                <w:szCs w:val="22"/>
              </w:rPr>
            </w:pPr>
            <w:r w:rsidDel="00000000" w:rsidR="00000000" w:rsidRPr="00000000">
              <w:rPr>
                <w:b w:val="1"/>
                <w:sz w:val="22"/>
                <w:szCs w:val="22"/>
                <w:rtl w:val="0"/>
              </w:rPr>
              <w:t xml:space="preserve">Maximum pre-financing payment</w:t>
            </w:r>
            <w:r w:rsidDel="00000000" w:rsidR="00000000" w:rsidRPr="00000000">
              <w:rPr>
                <w:sz w:val="26"/>
                <w:szCs w:val="26"/>
                <w:vertAlign w:val="superscript"/>
              </w:rPr>
              <w:footnoteReference w:customMarkFollows="0" w:id="3"/>
            </w:r>
            <w:r w:rsidDel="00000000" w:rsidR="00000000" w:rsidRPr="00000000">
              <w:rPr>
                <w:rtl w:val="0"/>
              </w:rPr>
            </w:r>
          </w:p>
        </w:tc>
        <w:tc>
          <w:tcPr/>
          <w:p w:rsidR="00000000" w:rsidDel="00000000" w:rsidP="00000000" w:rsidRDefault="00000000" w:rsidRPr="00000000" w14:paraId="00000067">
            <w:pPr>
              <w:spacing w:after="40" w:before="40" w:lineRule="auto"/>
              <w:jc w:val="center"/>
              <w:rPr>
                <w:sz w:val="22"/>
                <w:szCs w:val="22"/>
              </w:rPr>
            </w:pPr>
            <w:r w:rsidDel="00000000" w:rsidR="00000000" w:rsidRPr="00000000">
              <w:rPr>
                <w:sz w:val="22"/>
                <w:szCs w:val="22"/>
                <w:rtl w:val="0"/>
              </w:rPr>
              <w:t xml:space="preserve">N/A %</w:t>
            </w:r>
            <w:r w:rsidDel="00000000" w:rsidR="00000000" w:rsidRPr="00000000">
              <w:rPr>
                <w:sz w:val="26"/>
                <w:szCs w:val="26"/>
                <w:vertAlign w:val="superscript"/>
              </w:rPr>
              <w:footnoteReference w:customMarkFollows="0" w:id="4"/>
            </w:r>
            <w:r w:rsidDel="00000000" w:rsidR="00000000" w:rsidRPr="00000000">
              <w:rPr>
                <w:rtl w:val="0"/>
              </w:rPr>
            </w:r>
          </w:p>
        </w:tc>
      </w:tr>
      <w:tr>
        <w:trPr>
          <w:cantSplit w:val="0"/>
          <w:trHeight w:val="1783" w:hRule="atLeast"/>
          <w:tblHeader w:val="0"/>
        </w:trPr>
        <w:tc>
          <w:tcPr/>
          <w:p w:rsidR="00000000" w:rsidDel="00000000" w:rsidP="00000000" w:rsidRDefault="00000000" w:rsidRPr="00000000" w14:paraId="00000068">
            <w:pPr>
              <w:spacing w:after="40" w:before="40" w:lineRule="auto"/>
              <w:ind w:right="-25"/>
              <w:jc w:val="center"/>
              <w:rPr>
                <w:b w:val="1"/>
                <w:sz w:val="22"/>
                <w:szCs w:val="22"/>
              </w:rPr>
            </w:pPr>
            <w:r w:rsidDel="00000000" w:rsidR="00000000" w:rsidRPr="00000000">
              <w:rPr>
                <w:b w:val="1"/>
                <w:sz w:val="22"/>
                <w:szCs w:val="22"/>
                <w:rtl w:val="0"/>
              </w:rPr>
              <w:t xml:space="preserve">1-monthly</w:t>
            </w:r>
          </w:p>
        </w:tc>
        <w:tc>
          <w:tcPr/>
          <w:p w:rsidR="00000000" w:rsidDel="00000000" w:rsidP="00000000" w:rsidRDefault="00000000" w:rsidRPr="00000000" w14:paraId="00000069">
            <w:pPr>
              <w:spacing w:after="40" w:before="40" w:lineRule="auto"/>
              <w:jc w:val="left"/>
              <w:rPr>
                <w:b w:val="1"/>
                <w:sz w:val="22"/>
                <w:szCs w:val="22"/>
              </w:rPr>
            </w:pPr>
            <w:r w:rsidDel="00000000" w:rsidR="00000000" w:rsidRPr="00000000">
              <w:rPr>
                <w:b w:val="1"/>
                <w:sz w:val="22"/>
                <w:szCs w:val="22"/>
                <w:rtl w:val="0"/>
              </w:rPr>
              <w:t xml:space="preserve">Interim payments </w:t>
            </w:r>
          </w:p>
        </w:tc>
        <w:tc>
          <w:tcPr/>
          <w:p w:rsidR="00000000" w:rsidDel="00000000" w:rsidP="00000000" w:rsidRDefault="00000000" w:rsidRPr="00000000" w14:paraId="0000006A">
            <w:pPr>
              <w:spacing w:after="40" w:before="40" w:lineRule="auto"/>
              <w:jc w:val="center"/>
              <w:rPr>
                <w:sz w:val="22"/>
                <w:szCs w:val="22"/>
              </w:rPr>
            </w:pPr>
            <w:r w:rsidDel="00000000" w:rsidR="00000000" w:rsidRPr="00000000">
              <w:rPr>
                <w:sz w:val="22"/>
                <w:szCs w:val="22"/>
                <w:rtl w:val="0"/>
              </w:rPr>
              <w:t xml:space="preserve">Per Mentor’s Timesheet </w:t>
            </w:r>
          </w:p>
        </w:tc>
      </w:tr>
      <w:tr>
        <w:trPr>
          <w:cantSplit w:val="0"/>
          <w:trHeight w:val="1048" w:hRule="atLeast"/>
          <w:tblHeader w:val="0"/>
        </w:trPr>
        <w:tc>
          <w:tcPr>
            <w:tcBorders>
              <w:bottom w:color="000000" w:space="0" w:sz="0" w:val="nil"/>
            </w:tcBorders>
          </w:tcPr>
          <w:p w:rsidR="00000000" w:rsidDel="00000000" w:rsidP="00000000" w:rsidRDefault="00000000" w:rsidRPr="00000000" w14:paraId="0000006B">
            <w:pPr>
              <w:spacing w:after="40" w:before="40" w:lineRule="auto"/>
              <w:ind w:right="-25"/>
              <w:jc w:val="center"/>
              <w:rPr>
                <w:b w:val="1"/>
                <w:sz w:val="22"/>
                <w:szCs w:val="22"/>
              </w:rPr>
            </w:pPr>
            <w:r w:rsidDel="00000000" w:rsidR="00000000" w:rsidRPr="00000000">
              <w:rPr>
                <w:b w:val="1"/>
                <w:sz w:val="22"/>
                <w:szCs w:val="22"/>
                <w:rtl w:val="0"/>
              </w:rPr>
              <w:t xml:space="preserve">6th Month</w:t>
            </w:r>
          </w:p>
        </w:tc>
        <w:tc>
          <w:tcPr>
            <w:tcBorders>
              <w:bottom w:color="000000" w:space="0" w:sz="0" w:val="nil"/>
            </w:tcBorders>
          </w:tcPr>
          <w:p w:rsidR="00000000" w:rsidDel="00000000" w:rsidP="00000000" w:rsidRDefault="00000000" w:rsidRPr="00000000" w14:paraId="0000006C">
            <w:pPr>
              <w:spacing w:after="40" w:before="40" w:lineRule="auto"/>
              <w:rPr>
                <w:b w:val="1"/>
                <w:sz w:val="22"/>
                <w:szCs w:val="22"/>
              </w:rPr>
            </w:pPr>
            <w:r w:rsidDel="00000000" w:rsidR="00000000" w:rsidRPr="00000000">
              <w:rPr>
                <w:b w:val="1"/>
                <w:sz w:val="22"/>
                <w:szCs w:val="22"/>
                <w:rtl w:val="0"/>
              </w:rPr>
              <w:t xml:space="preserve">Forecast balance</w:t>
            </w:r>
          </w:p>
        </w:tc>
        <w:tc>
          <w:tcPr>
            <w:tcBorders>
              <w:bottom w:color="000000" w:space="0" w:sz="0" w:val="nil"/>
            </w:tcBorders>
          </w:tcPr>
          <w:p w:rsidR="00000000" w:rsidDel="00000000" w:rsidP="00000000" w:rsidRDefault="00000000" w:rsidRPr="00000000" w14:paraId="0000006D">
            <w:pPr>
              <w:spacing w:after="0" w:lineRule="auto"/>
              <w:jc w:val="center"/>
              <w:rPr>
                <w:sz w:val="22"/>
                <w:szCs w:val="22"/>
              </w:rPr>
            </w:pPr>
            <w:r w:rsidDel="00000000" w:rsidR="00000000" w:rsidRPr="00000000">
              <w:rPr>
                <w:sz w:val="22"/>
                <w:szCs w:val="22"/>
                <w:rtl w:val="0"/>
              </w:rPr>
              <w:t xml:space="preserve">10 % of the maximum contract value</w:t>
            </w:r>
          </w:p>
        </w:tc>
      </w:tr>
      <w:tr>
        <w:trPr>
          <w:cantSplit w:val="0"/>
          <w:trHeight w:val="790" w:hRule="atLeast"/>
          <w:tblHeader w:val="0"/>
        </w:trPr>
        <w:tc>
          <w:tcPr>
            <w:tcBorders>
              <w:top w:color="000000" w:space="0" w:sz="4" w:val="dotted"/>
              <w:bottom w:color="000000" w:space="0" w:sz="4" w:val="single"/>
            </w:tcBorders>
            <w:shd w:fill="e6e6e6" w:val="clear"/>
          </w:tcPr>
          <w:p w:rsidR="00000000" w:rsidDel="00000000" w:rsidP="00000000" w:rsidRDefault="00000000" w:rsidRPr="00000000" w14:paraId="0000006E">
            <w:pPr>
              <w:spacing w:after="40" w:before="40" w:lineRule="auto"/>
              <w:ind w:right="-25"/>
              <w:jc w:val="center"/>
              <w:rPr>
                <w:b w:val="1"/>
                <w:sz w:val="22"/>
                <w:szCs w:val="22"/>
              </w:rPr>
            </w:pPr>
            <w:r w:rsidDel="00000000" w:rsidR="00000000" w:rsidRPr="00000000">
              <w:rPr>
                <w:rtl w:val="0"/>
              </w:rPr>
            </w:r>
          </w:p>
        </w:tc>
        <w:tc>
          <w:tcPr>
            <w:tcBorders>
              <w:top w:color="000000" w:space="0" w:sz="4" w:val="dotted"/>
              <w:bottom w:color="000000" w:space="0" w:sz="4" w:val="single"/>
            </w:tcBorders>
            <w:shd w:fill="e6e6e6" w:val="clear"/>
          </w:tcPr>
          <w:p w:rsidR="00000000" w:rsidDel="00000000" w:rsidP="00000000" w:rsidRDefault="00000000" w:rsidRPr="00000000" w14:paraId="0000006F">
            <w:pPr>
              <w:spacing w:after="40" w:before="40" w:lineRule="auto"/>
              <w:rPr>
                <w:b w:val="1"/>
                <w:sz w:val="22"/>
                <w:szCs w:val="22"/>
              </w:rPr>
            </w:pPr>
            <w:r w:rsidDel="00000000" w:rsidR="00000000" w:rsidRPr="00000000">
              <w:rPr>
                <w:b w:val="1"/>
                <w:sz w:val="22"/>
                <w:szCs w:val="22"/>
                <w:rtl w:val="0"/>
              </w:rPr>
              <w:t xml:space="preserve">Total</w:t>
            </w:r>
          </w:p>
        </w:tc>
        <w:tc>
          <w:tcPr>
            <w:tcBorders>
              <w:top w:color="000000" w:space="0" w:sz="4" w:val="dotted"/>
              <w:bottom w:color="000000" w:space="0" w:sz="4" w:val="single"/>
            </w:tcBorders>
            <w:shd w:fill="e6e6e6" w:val="clear"/>
          </w:tcPr>
          <w:p w:rsidR="00000000" w:rsidDel="00000000" w:rsidP="00000000" w:rsidRDefault="00000000" w:rsidRPr="00000000" w14:paraId="00000070">
            <w:pPr>
              <w:spacing w:after="0" w:lineRule="auto"/>
              <w:jc w:val="center"/>
              <w:rPr>
                <w:sz w:val="22"/>
                <w:szCs w:val="22"/>
              </w:rPr>
            </w:pPr>
            <w:r w:rsidDel="00000000" w:rsidR="00000000" w:rsidRPr="00000000">
              <w:rPr>
                <w:sz w:val="22"/>
                <w:szCs w:val="22"/>
                <w:rtl w:val="0"/>
              </w:rPr>
              <w:t xml:space="preserve">&lt;maximum contract value&gt;</w:t>
            </w:r>
          </w:p>
        </w:tc>
      </w:tr>
    </w:tbl>
    <w:p w:rsidR="00000000" w:rsidDel="00000000" w:rsidP="00000000" w:rsidRDefault="00000000" w:rsidRPr="00000000" w14:paraId="00000071">
      <w:pPr>
        <w:spacing w:before="240" w:lineRule="auto"/>
        <w:ind w:left="567" w:firstLine="0"/>
        <w:rPr>
          <w:sz w:val="22"/>
          <w:szCs w:val="22"/>
        </w:rPr>
      </w:pPr>
      <w:r w:rsidDel="00000000" w:rsidR="00000000" w:rsidRPr="00000000">
        <w:rPr>
          <w:sz w:val="22"/>
          <w:szCs w:val="22"/>
          <w:rtl w:val="0"/>
        </w:rPr>
        <w:t xml:space="preserve">The actual amounts payable after the pre-financing payment will vary. They will be based on the contractor’s invoice accompanied by an interim progress report and an expenditure verification report and are subject to approval of the reports in accordance with Article 27 of the general conditions.</w:t>
      </w:r>
    </w:p>
    <w:p w:rsidR="00000000" w:rsidDel="00000000" w:rsidP="00000000" w:rsidRDefault="00000000" w:rsidRPr="00000000" w14:paraId="00000072">
      <w:pPr>
        <w:ind w:left="567" w:firstLine="0"/>
        <w:rPr>
          <w:sz w:val="22"/>
          <w:szCs w:val="22"/>
        </w:rPr>
      </w:pPr>
      <w:r w:rsidDel="00000000" w:rsidR="00000000" w:rsidRPr="00000000">
        <w:rPr>
          <w:sz w:val="22"/>
          <w:szCs w:val="22"/>
          <w:rtl w:val="0"/>
        </w:rPr>
        <w:t xml:space="preserve">The interim invoices must be paid such that the sum of the payments does not exceed 90 % of the maximum contract value stated in Article (2) of the contract. Payment of the balance of the final value of the contract, subject to the maximum contract value stated in Article (2) of the contract, is made after deduction of the amounts already paid, within 90 days of the contracting authority receiving an invoice accompanied by the final progress report and a final expenditure verification report, the incidental expenditure and expenditure verification actually incurred during the period, subject to approval of those reports.</w:t>
      </w:r>
    </w:p>
    <w:p w:rsidR="00000000" w:rsidDel="00000000" w:rsidP="00000000" w:rsidRDefault="00000000" w:rsidRPr="00000000" w14:paraId="00000073">
      <w:pPr>
        <w:keepNext w:val="1"/>
        <w:ind w:left="567" w:firstLine="0"/>
        <w:rPr>
          <w:sz w:val="22"/>
          <w:szCs w:val="22"/>
          <w:highlight w:val="yellow"/>
        </w:rPr>
      </w:pPr>
      <w:r w:rsidDel="00000000" w:rsidR="00000000" w:rsidRPr="00000000">
        <w:rPr>
          <w:rtl w:val="0"/>
        </w:rPr>
      </w:r>
    </w:p>
    <w:p w:rsidR="00000000" w:rsidDel="00000000" w:rsidP="00000000" w:rsidRDefault="00000000" w:rsidRPr="00000000" w14:paraId="00000074">
      <w:pPr>
        <w:spacing w:before="240" w:lineRule="auto"/>
        <w:ind w:left="567" w:firstLine="0"/>
        <w:rPr>
          <w:sz w:val="22"/>
          <w:szCs w:val="22"/>
        </w:rPr>
      </w:pPr>
      <w:r w:rsidDel="00000000" w:rsidR="00000000" w:rsidRPr="00000000">
        <w:rPr>
          <w:sz w:val="22"/>
          <w:szCs w:val="22"/>
          <w:rtl w:val="0"/>
        </w:rPr>
        <w:t xml:space="preserve">: By derogation, the payments to the contractor of the amounts due under interim and final payments shall be made within 90 days after receipt by the contracting authority of an invoice and of the reports, subject to approval of those reports in accordance with Article 27 of the general conditions.</w:t>
      </w:r>
    </w:p>
    <w:p w:rsidR="00000000" w:rsidDel="00000000" w:rsidP="00000000" w:rsidRDefault="00000000" w:rsidRPr="00000000" w14:paraId="00000075">
      <w:pPr>
        <w:spacing w:after="0" w:lineRule="auto"/>
        <w:ind w:left="567" w:hanging="567"/>
        <w:rPr>
          <w:sz w:val="22"/>
          <w:szCs w:val="22"/>
        </w:rPr>
      </w:pPr>
      <w:r w:rsidDel="00000000" w:rsidR="00000000" w:rsidRPr="00000000">
        <w:rPr>
          <w:sz w:val="22"/>
          <w:szCs w:val="22"/>
          <w:rtl w:val="0"/>
        </w:rPr>
        <w:t xml:space="preserve">29.3</w:t>
        <w:tab/>
      </w:r>
    </w:p>
    <w:p w:rsidR="00000000" w:rsidDel="00000000" w:rsidP="00000000" w:rsidRDefault="00000000" w:rsidRPr="00000000" w14:paraId="00000076">
      <w:pPr>
        <w:tabs>
          <w:tab w:val="left" w:leader="none" w:pos="567"/>
        </w:tabs>
        <w:ind w:left="567" w:firstLine="0"/>
        <w:rPr>
          <w:sz w:val="22"/>
          <w:szCs w:val="22"/>
        </w:rPr>
      </w:pPr>
      <w:r w:rsidDel="00000000" w:rsidR="00000000" w:rsidRPr="00000000">
        <w:rPr>
          <w:sz w:val="22"/>
          <w:szCs w:val="22"/>
          <w:rtl w:val="0"/>
        </w:rPr>
        <w:t xml:space="preserve">By derogation from Article 29.3 of the general conditions, once the deadline set in Article 29.1 has expired, the contractor will, upon demand,</w:t>
      </w:r>
      <w:r w:rsidDel="00000000" w:rsidR="00000000" w:rsidRPr="00000000">
        <w:rPr>
          <w:rtl w:val="0"/>
        </w:rPr>
        <w:t xml:space="preserve"> </w:t>
      </w:r>
      <w:r w:rsidDel="00000000" w:rsidR="00000000" w:rsidRPr="00000000">
        <w:rPr>
          <w:sz w:val="22"/>
          <w:szCs w:val="22"/>
          <w:rtl w:val="0"/>
        </w:rPr>
        <w:t xml:space="preserve">be entitled to late-payment interest at the rate and for the period mentioned in the general conditions submitted the demand must be submitted within two months of receiving late payment.</w:t>
      </w:r>
    </w:p>
    <w:p w:rsidR="00000000" w:rsidDel="00000000" w:rsidP="00000000" w:rsidRDefault="00000000" w:rsidRPr="00000000" w14:paraId="00000077">
      <w:pPr>
        <w:spacing w:after="120" w:lineRule="auto"/>
        <w:ind w:left="567" w:hanging="567"/>
        <w:rPr>
          <w:sz w:val="22"/>
          <w:szCs w:val="22"/>
        </w:rPr>
      </w:pPr>
      <w:r w:rsidDel="00000000" w:rsidR="00000000" w:rsidRPr="00000000">
        <w:rPr>
          <w:sz w:val="22"/>
          <w:szCs w:val="22"/>
          <w:rtl w:val="0"/>
        </w:rPr>
        <w:t xml:space="preserve">29.5</w:t>
        <w:tab/>
        <w:t xml:space="preserve">Payments will be made in TRY in accordance with Articles 20.6 and 29.4 of the general conditions into the bank account notified by the contractor to the contracting authority.</w:t>
      </w:r>
    </w:p>
    <w:p w:rsidR="00000000" w:rsidDel="00000000" w:rsidP="00000000" w:rsidRDefault="00000000" w:rsidRPr="00000000" w14:paraId="00000078">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30</w:t>
        <w:tab/>
        <w:t xml:space="preserve">Financial guarantee</w:t>
      </w:r>
    </w:p>
    <w:p w:rsidR="00000000" w:rsidDel="00000000" w:rsidP="00000000" w:rsidRDefault="00000000" w:rsidRPr="00000000" w14:paraId="00000079">
      <w:pPr>
        <w:spacing w:after="0" w:lineRule="auto"/>
        <w:ind w:left="709" w:hanging="709"/>
        <w:rPr>
          <w:sz w:val="22"/>
          <w:szCs w:val="22"/>
        </w:rPr>
      </w:pPr>
      <w:r w:rsidDel="00000000" w:rsidR="00000000" w:rsidRPr="00000000">
        <w:rPr>
          <w:sz w:val="22"/>
          <w:szCs w:val="22"/>
          <w:rtl w:val="0"/>
        </w:rPr>
        <w:t xml:space="preserve">30.1</w:t>
        <w:tab/>
        <w:t xml:space="preserve">By derogation from article 30 of the general conditions, no pre-financing guarantee is required.</w:t>
      </w:r>
    </w:p>
    <w:p w:rsidR="00000000" w:rsidDel="00000000" w:rsidP="00000000" w:rsidRDefault="00000000" w:rsidRPr="00000000" w14:paraId="0000007A">
      <w:pPr>
        <w:spacing w:after="0" w:lineRule="auto"/>
        <w:ind w:left="709" w:hanging="709"/>
        <w:rPr>
          <w:sz w:val="22"/>
          <w:szCs w:val="22"/>
        </w:rPr>
      </w:pPr>
      <w:r w:rsidDel="00000000" w:rsidR="00000000" w:rsidRPr="00000000">
        <w:rPr>
          <w:sz w:val="22"/>
          <w:szCs w:val="22"/>
          <w:rtl w:val="0"/>
        </w:rPr>
        <w:tab/>
      </w:r>
    </w:p>
    <w:p w:rsidR="00000000" w:rsidDel="00000000" w:rsidP="00000000" w:rsidRDefault="00000000" w:rsidRPr="00000000" w14:paraId="0000007B">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40</w:t>
        <w:tab/>
        <w:t xml:space="preserve">Settlement of disputes</w:t>
      </w:r>
    </w:p>
    <w:p w:rsidR="00000000" w:rsidDel="00000000" w:rsidP="00000000" w:rsidRDefault="00000000" w:rsidRPr="00000000" w14:paraId="0000007C">
      <w:pPr>
        <w:spacing w:after="120" w:lineRule="auto"/>
        <w:ind w:left="567" w:hanging="567"/>
        <w:rPr>
          <w:sz w:val="22"/>
          <w:szCs w:val="22"/>
        </w:rPr>
      </w:pPr>
      <w:r w:rsidDel="00000000" w:rsidR="00000000" w:rsidRPr="00000000">
        <w:rPr>
          <w:sz w:val="22"/>
          <w:szCs w:val="22"/>
          <w:rtl w:val="0"/>
        </w:rPr>
        <w:t xml:space="preserve">40.4</w:t>
        <w:tab/>
        <w:t xml:space="preserve">Any disputes arising out of or relating to this contract which cannot be settled otherwise shall be referred to the exclusive jurisdiction of the Republic of Türkiye applying the national legislation of the contracting authority.]</w:t>
      </w:r>
    </w:p>
    <w:p w:rsidR="00000000" w:rsidDel="00000000" w:rsidP="00000000" w:rsidRDefault="00000000" w:rsidRPr="00000000" w14:paraId="0000007D">
      <w:pPr>
        <w:keepNext w:val="1"/>
        <w:keepLines w:val="1"/>
        <w:tabs>
          <w:tab w:val="left" w:leader="none" w:pos="1134"/>
        </w:tabs>
        <w:spacing w:after="120" w:before="240" w:lineRule="auto"/>
        <w:ind w:left="1134" w:hanging="1134"/>
        <w:rPr>
          <w:b w:val="1"/>
        </w:rPr>
      </w:pPr>
      <w:r w:rsidDel="00000000" w:rsidR="00000000" w:rsidRPr="00000000">
        <w:rPr>
          <w:sz w:val="22"/>
          <w:szCs w:val="22"/>
          <w:rtl w:val="0"/>
        </w:rPr>
        <w:t xml:space="preserve">(a)</w:t>
      </w:r>
      <w:r w:rsidDel="00000000" w:rsidR="00000000" w:rsidRPr="00000000">
        <w:rPr>
          <w:b w:val="1"/>
          <w:rtl w:val="0"/>
        </w:rPr>
        <w:t xml:space="preserve">Article 42</w:t>
        <w:tab/>
        <w:t xml:space="preserve">Data protection</w:t>
      </w:r>
    </w:p>
    <w:p w:rsidR="00000000" w:rsidDel="00000000" w:rsidP="00000000" w:rsidRDefault="00000000" w:rsidRPr="00000000" w14:paraId="0000007E">
      <w:pPr>
        <w:rPr>
          <w:sz w:val="22"/>
          <w:szCs w:val="22"/>
        </w:rPr>
      </w:pPr>
      <w:r w:rsidDel="00000000" w:rsidR="00000000" w:rsidRPr="00000000">
        <w:rPr>
          <w:rtl w:val="0"/>
        </w:rPr>
      </w:r>
    </w:p>
    <w:p w:rsidR="00000000" w:rsidDel="00000000" w:rsidP="00000000" w:rsidRDefault="00000000" w:rsidRPr="00000000" w14:paraId="0000007F">
      <w:pPr>
        <w:rPr>
          <w:sz w:val="22"/>
          <w:szCs w:val="22"/>
        </w:rPr>
      </w:pPr>
      <w:r w:rsidDel="00000000" w:rsidR="00000000" w:rsidRPr="00000000">
        <w:rPr>
          <w:sz w:val="22"/>
          <w:szCs w:val="22"/>
          <w:rtl w:val="0"/>
        </w:rPr>
        <w:t xml:space="preserve">1. Processing of personal data related to the implementation of the contract by the contracting authority takes place in accordance with the national legislation of the state of the contracting authority and with the provisions of the respective financing agreement.</w:t>
      </w:r>
    </w:p>
    <w:p w:rsidR="00000000" w:rsidDel="00000000" w:rsidP="00000000" w:rsidRDefault="00000000" w:rsidRPr="00000000" w14:paraId="00000080">
      <w:pPr>
        <w:rPr>
          <w:sz w:val="22"/>
          <w:szCs w:val="22"/>
          <w:u w:val="single"/>
        </w:rPr>
      </w:pPr>
      <w:r w:rsidDel="00000000" w:rsidR="00000000" w:rsidRPr="00000000">
        <w:rPr>
          <w:sz w:val="22"/>
          <w:szCs w:val="22"/>
          <w:rtl w:val="0"/>
        </w:rPr>
        <w:t xml:space="preserve">2. 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staff,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Del="00000000" w:rsidR="00000000" w:rsidRPr="00000000">
        <w:rPr>
          <w:sz w:val="22"/>
          <w:szCs w:val="22"/>
          <w:highlight w:val="lightGray"/>
          <w:vertAlign w:val="superscript"/>
        </w:rPr>
        <w:footnoteReference w:customMarkFollows="0" w:id="5"/>
      </w:r>
      <w:r w:rsidDel="00000000" w:rsidR="00000000" w:rsidRPr="00000000">
        <w:rPr>
          <w:sz w:val="22"/>
          <w:szCs w:val="22"/>
          <w:rtl w:val="0"/>
        </w:rPr>
        <w:t xml:space="preserve"> and as detailed in the specific privacy statement published at ePRAG.</w:t>
      </w:r>
      <w:r w:rsidDel="00000000" w:rsidR="00000000" w:rsidRPr="00000000">
        <w:rPr>
          <w:sz w:val="22"/>
          <w:szCs w:val="22"/>
          <w:u w:val="single"/>
          <w:rtl w:val="0"/>
        </w:rPr>
        <w:t xml:space="preserve">]</w:t>
      </w:r>
    </w:p>
    <w:p w:rsidR="00000000" w:rsidDel="00000000" w:rsidP="00000000" w:rsidRDefault="00000000" w:rsidRPr="00000000" w14:paraId="00000081">
      <w:pPr>
        <w:keepNext w:val="1"/>
        <w:keepLines w:val="1"/>
        <w:tabs>
          <w:tab w:val="left" w:leader="none" w:pos="1134"/>
        </w:tabs>
        <w:spacing w:after="120" w:before="240" w:lineRule="auto"/>
        <w:ind w:left="1134" w:hanging="1134"/>
        <w:rPr>
          <w:b w:val="1"/>
        </w:rPr>
      </w:pPr>
      <w:r w:rsidDel="00000000" w:rsidR="00000000" w:rsidRPr="00000000">
        <w:rPr>
          <w:b w:val="1"/>
          <w:rtl w:val="0"/>
        </w:rPr>
        <w:t xml:space="preserve">Article 43</w:t>
        <w:tab/>
        <w:t xml:space="preserve">Further additional clauses</w:t>
      </w:r>
    </w:p>
    <w:p w:rsidR="00000000" w:rsidDel="00000000" w:rsidP="00000000" w:rsidRDefault="00000000" w:rsidRPr="00000000" w14:paraId="00000082">
      <w:pPr>
        <w:spacing w:before="240" w:lineRule="auto"/>
        <w:ind w:left="1417" w:hanging="1417"/>
        <w:jc w:val="left"/>
        <w:rPr>
          <w:sz w:val="22"/>
          <w:szCs w:val="22"/>
        </w:rPr>
      </w:pPr>
      <w:r w:rsidDel="00000000" w:rsidR="00000000" w:rsidRPr="00000000">
        <w:rPr>
          <w:b w:val="1"/>
          <w:rtl w:val="0"/>
        </w:rPr>
        <w:t xml:space="preserve">Not applicable. </w:t>
      </w:r>
      <w:r w:rsidDel="00000000" w:rsidR="00000000" w:rsidRPr="00000000">
        <w:rPr>
          <w:sz w:val="22"/>
          <w:szCs w:val="22"/>
          <w:rtl w:val="0"/>
        </w:rPr>
        <w:t xml:space="preserve">* * *</w:t>
      </w:r>
    </w:p>
    <w:sectPr>
      <w:headerReference r:id="rId9" w:type="default"/>
      <w:headerReference r:id="rId10" w:type="first"/>
      <w:headerReference r:id="rId11" w:type="even"/>
      <w:footerReference r:id="rId12" w:type="default"/>
      <w:footerReference r:id="rId13" w:type="first"/>
      <w:footerReference r:id="rId14" w:type="even"/>
      <w:pgSz w:h="16834" w:w="11913" w:orient="portrait"/>
      <w:pgMar w:bottom="1276" w:top="1134" w:left="1134" w:right="1418" w:header="720" w:footer="53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Rule="auto"/>
      <w:ind w:right="-567"/>
      <w:jc w:val="left"/>
      <w:rPr>
        <w:rFonts w:ascii="Arial" w:cs="Arial" w:eastAsia="Arial" w:hAnsi="Arial"/>
        <w:color w:val="000000"/>
        <w:sz w:val="16"/>
        <w:szCs w:val="16"/>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right" w:leader="none" w:pos="8505"/>
      </w:tabs>
      <w:spacing w:after="0" w:before="120" w:lineRule="auto"/>
      <w:ind w:right="-567"/>
      <w:jc w:val="left"/>
      <w:rPr>
        <w:b w:val="1"/>
        <w:color w:val="000000"/>
        <w:sz w:val="18"/>
        <w:szCs w:val="18"/>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b8o2_contract_simp_en.doc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b w:val="1"/>
        <w:color w:val="000000"/>
        <w:sz w:val="20"/>
        <w:szCs w:val="20"/>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right" w:leader="none" w:pos="8505"/>
      </w:tabs>
      <w:spacing w:after="0" w:lineRule="auto"/>
      <w:ind w:right="-567"/>
      <w:jc w:val="left"/>
      <w:rPr>
        <w:color w:val="000000"/>
        <w:sz w:val="18"/>
        <w:szCs w:val="18"/>
      </w:rPr>
    </w:pPr>
    <w:r w:rsidDel="00000000" w:rsidR="00000000" w:rsidRPr="00000000">
      <w:rPr>
        <w:color w:val="000000"/>
        <w:sz w:val="18"/>
        <w:szCs w:val="18"/>
        <w:rtl w:val="0"/>
      </w:rPr>
      <w:t xml:space="preserve">b8o2_contract_simp_en.doc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Where the contracting party is an individual.</w:t>
      </w:r>
    </w:p>
  </w:footnote>
  <w:footnote w:id="1">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Where applicable. For individuals, mention their ID card, passport or equivalent document number.</w:t>
      </w:r>
    </w:p>
  </w:footnote>
  <w:footnote w:id="2">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Except where the contracting party is not VAT registered.</w:t>
      </w:r>
    </w:p>
  </w:footnote>
  <w:footnote w:id="3">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The contractor is not obliged to ask for pre-financing.</w:t>
      </w:r>
    </w:p>
  </w:footnote>
  <w:footnote w:id="4">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vertAlign w:val="superscript"/>
          <w:rtl w:val="0"/>
        </w:rPr>
        <w:t xml:space="preserve"> </w:t>
      </w:r>
      <w:r w:rsidDel="00000000" w:rsidR="00000000" w:rsidRPr="00000000">
        <w:rPr>
          <w:color w:val="000000"/>
          <w:sz w:val="20"/>
          <w:szCs w:val="20"/>
          <w:rtl w:val="0"/>
        </w:rPr>
        <w:t xml:space="preserve">Maximum of 20 % of the total contract amount.</w:t>
      </w:r>
    </w:p>
  </w:footnote>
  <w:footnote w:id="5">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6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OJ L 205 of 21.11.2018, p. 39.</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tabs>
        <w:tab w:val="center" w:leader="none" w:pos="4153"/>
        <w:tab w:val="right" w:leader="none" w:pos="8306"/>
      </w:tabs>
      <w:spacing w:after="120" w:lineRule="auto"/>
      <w:rPr>
        <w:color w:val="000000"/>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153"/>
        <w:tab w:val="right" w:leader="none" w:pos="8306"/>
      </w:tabs>
      <w:rPr>
        <w:sz w:val="22"/>
        <w:szCs w:val="22"/>
        <w:highlight w:val="yellow"/>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287" w:hanging="360.0000000000001"/>
      </w:pPr>
      <w:rPr>
        <w:rFonts w:ascii="Noto Sans Symbols" w:cs="Noto Sans Symbols" w:eastAsia="Noto Sans Symbols" w:hAnsi="Noto Sans Symbols"/>
      </w:rPr>
    </w:lvl>
    <w:lvl w:ilvl="1">
      <w:start w:val="0"/>
      <w:numFmt w:val="bullet"/>
      <w:lvlText w:val="-"/>
      <w:lvlJc w:val="left"/>
      <w:pPr>
        <w:ind w:left="2007" w:hanging="360"/>
      </w:pPr>
      <w:rPr>
        <w:rFonts w:ascii="Times New Roman" w:cs="Times New Roman" w:eastAsia="Times New Roman" w:hAnsi="Times New Roman"/>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abstractNum w:abstractNumId="2">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spacing w:after="240" w:lineRule="auto"/>
        <w:jc w:val="both"/>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before="240" w:lineRule="auto"/>
      <w:ind w:left="482" w:hanging="482"/>
    </w:pPr>
    <w:rPr>
      <w:b w:val="1"/>
      <w:smallCaps w:val="1"/>
    </w:rPr>
  </w:style>
  <w:style w:type="paragraph" w:styleId="Heading2">
    <w:name w:val="heading 2"/>
    <w:basedOn w:val="Normal"/>
    <w:next w:val="Normal"/>
    <w:pPr>
      <w:keepNext w:val="1"/>
      <w:ind w:left="1202" w:hanging="360"/>
    </w:pPr>
    <w:rPr>
      <w:b w:val="1"/>
    </w:rPr>
  </w:style>
  <w:style w:type="paragraph" w:styleId="Heading3">
    <w:name w:val="heading 3"/>
    <w:basedOn w:val="Normal"/>
    <w:next w:val="Normal"/>
    <w:pPr>
      <w:keepNext w:val="1"/>
      <w:ind w:left="1984" w:hanging="782"/>
    </w:pPr>
    <w:rPr>
      <w:i w:val="1"/>
    </w:rPr>
  </w:style>
  <w:style w:type="paragraph" w:styleId="Heading4">
    <w:name w:val="heading 4"/>
    <w:basedOn w:val="Normal"/>
    <w:next w:val="Normal"/>
    <w:pPr>
      <w:keepNext w:val="1"/>
      <w:ind w:left="1984" w:hanging="782"/>
    </w:pPr>
    <w:rPr/>
  </w:style>
  <w:style w:type="paragraph" w:styleId="Heading5">
    <w:name w:val="heading 5"/>
    <w:basedOn w:val="Normal"/>
    <w:next w:val="Normal"/>
    <w:pPr>
      <w:spacing w:after="60" w:before="240" w:lineRule="auto"/>
    </w:pPr>
    <w:rPr>
      <w:rFonts w:ascii="Arial" w:cs="Arial" w:eastAsia="Arial" w:hAnsi="Arial"/>
      <w:sz w:val="22"/>
      <w:szCs w:val="22"/>
    </w:rPr>
  </w:style>
  <w:style w:type="paragraph" w:styleId="Heading6">
    <w:name w:val="heading 6"/>
    <w:basedOn w:val="Normal"/>
    <w:next w:val="Normal"/>
    <w:pPr>
      <w:spacing w:after="60" w:before="240" w:lineRule="auto"/>
    </w:pPr>
    <w:rPr>
      <w:rFonts w:ascii="Arial" w:cs="Arial" w:eastAsia="Arial" w:hAnsi="Arial"/>
      <w:i w:val="1"/>
      <w:sz w:val="22"/>
      <w:szCs w:val="22"/>
    </w:rPr>
  </w:style>
  <w:style w:type="paragraph" w:styleId="Title">
    <w:name w:val="Title"/>
    <w:basedOn w:val="Normal"/>
    <w:next w:val="Normal"/>
    <w:pPr>
      <w:spacing w:after="480" w:lineRule="auto"/>
      <w:jc w:val="center"/>
    </w:pPr>
    <w:rPr>
      <w:b w:val="1"/>
      <w:sz w:val="48"/>
      <w:szCs w:val="48"/>
    </w:rPr>
  </w:style>
  <w:style w:type="paragraph" w:styleId="Balk7">
    <w:name w:val="heading 7"/>
    <w:basedOn w:val="Normal"/>
    <w:next w:val="Normal"/>
    <w:qFormat w:val="1"/>
    <w:pPr>
      <w:tabs>
        <w:tab w:val="num" w:pos="0"/>
      </w:tabs>
      <w:spacing w:after="60" w:before="240"/>
      <w:outlineLvl w:val="6"/>
    </w:pPr>
    <w:rPr>
      <w:rFonts w:ascii="Arial" w:hAnsi="Arial"/>
      <w:sz w:val="20"/>
    </w:rPr>
  </w:style>
  <w:style w:type="paragraph" w:styleId="Balk8">
    <w:name w:val="heading 8"/>
    <w:basedOn w:val="Normal"/>
    <w:next w:val="Normal"/>
    <w:qFormat w:val="1"/>
    <w:pPr>
      <w:tabs>
        <w:tab w:val="num" w:pos="0"/>
      </w:tabs>
      <w:spacing w:after="60" w:before="240"/>
      <w:outlineLvl w:val="7"/>
    </w:pPr>
    <w:rPr>
      <w:rFonts w:ascii="Arial" w:hAnsi="Arial"/>
      <w:i w:val="1"/>
      <w:sz w:val="20"/>
    </w:rPr>
  </w:style>
  <w:style w:type="paragraph" w:styleId="Balk9">
    <w:name w:val="heading 9"/>
    <w:basedOn w:val="Normal"/>
    <w:next w:val="Normal"/>
    <w:qFormat w:val="1"/>
    <w:pPr>
      <w:tabs>
        <w:tab w:val="num" w:pos="0"/>
      </w:tabs>
      <w:spacing w:after="60" w:before="240"/>
      <w:outlineLvl w:val="8"/>
    </w:pPr>
    <w:rPr>
      <w:rFonts w:ascii="Arial" w:hAnsi="Arial"/>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paragraph" w:styleId="Text1" w:customStyle="1">
    <w:name w:val="Text 1"/>
    <w:basedOn w:val="Normal"/>
    <w:pPr>
      <w:ind w:left="482"/>
    </w:pPr>
  </w:style>
  <w:style w:type="paragraph" w:styleId="Text2" w:customStyle="1">
    <w:name w:val="Text 2"/>
    <w:basedOn w:val="Normal"/>
    <w:pPr>
      <w:tabs>
        <w:tab w:val="left" w:pos="2161"/>
      </w:tabs>
      <w:ind w:left="1202"/>
    </w:pPr>
  </w:style>
  <w:style w:type="paragraph" w:styleId="Text3" w:customStyle="1">
    <w:name w:val="Text 3"/>
    <w:basedOn w:val="Normal"/>
    <w:pPr>
      <w:tabs>
        <w:tab w:val="left" w:pos="2302"/>
      </w:tabs>
      <w:ind w:left="1202"/>
    </w:pPr>
  </w:style>
  <w:style w:type="paragraph" w:styleId="Text4" w:customStyle="1">
    <w:name w:val="Text 4"/>
    <w:basedOn w:val="Normal"/>
    <w:pPr>
      <w:tabs>
        <w:tab w:val="left" w:pos="2302"/>
      </w:tabs>
      <w:ind w:left="1202"/>
    </w:pPr>
  </w:style>
  <w:style w:type="paragraph" w:styleId="Address" w:customStyle="1">
    <w:name w:val="Address"/>
    <w:basedOn w:val="Normal"/>
    <w:pPr>
      <w:spacing w:after="0"/>
      <w:jc w:val="left"/>
    </w:pPr>
  </w:style>
  <w:style w:type="paragraph" w:styleId="AddressTL" w:customStyle="1">
    <w:name w:val="AddressTL"/>
    <w:basedOn w:val="Normal"/>
    <w:next w:val="Normal"/>
    <w:pPr>
      <w:spacing w:after="720"/>
      <w:jc w:val="left"/>
    </w:pPr>
  </w:style>
  <w:style w:type="paragraph" w:styleId="AddressTR" w:customStyle="1">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qFormat w:val="1"/>
    <w:pPr>
      <w:spacing w:after="120" w:before="120"/>
    </w:pPr>
    <w:rPr>
      <w:b w:val="1"/>
    </w:rPr>
  </w:style>
  <w:style w:type="paragraph" w:styleId="ChapterTitle" w:customStyle="1">
    <w:name w:val="ChapterTitle"/>
    <w:basedOn w:val="Normal"/>
    <w:next w:val="SectionTitle"/>
    <w:pPr>
      <w:keepNext w:val="1"/>
      <w:spacing w:after="480"/>
      <w:jc w:val="center"/>
    </w:pPr>
    <w:rPr>
      <w:b w:val="1"/>
      <w:sz w:val="32"/>
    </w:rPr>
  </w:style>
  <w:style w:type="paragraph" w:styleId="SectionTitle" w:customStyle="1">
    <w:name w:val="SectionTitle"/>
    <w:basedOn w:val="Normal"/>
    <w:next w:val="Balk1"/>
    <w:pPr>
      <w:keepNext w:val="1"/>
      <w:spacing w:after="480"/>
      <w:jc w:val="center"/>
    </w:pPr>
    <w:rPr>
      <w:b w:val="1"/>
      <w:smallCaps w:val="1"/>
      <w:sz w:val="28"/>
    </w:rPr>
  </w:style>
  <w:style w:type="paragraph" w:styleId="Kapan">
    <w:name w:val="Closing"/>
    <w:basedOn w:val="Normal"/>
    <w:pPr>
      <w:ind w:left="4252"/>
    </w:pPr>
  </w:style>
  <w:style w:type="paragraph" w:styleId="AklamaMetni">
    <w:name w:val="annotation text"/>
    <w:basedOn w:val="Normal"/>
    <w:link w:val="AklamaMetniChar"/>
    <w:uiPriority w:val="99"/>
    <w:semiHidden w:val="1"/>
    <w:rPr>
      <w:sz w:val="20"/>
    </w:rPr>
  </w:style>
  <w:style w:type="paragraph" w:styleId="Tarih">
    <w:name w:val="Date"/>
    <w:basedOn w:val="Normal"/>
    <w:next w:val="References"/>
    <w:pPr>
      <w:spacing w:after="0"/>
      <w:ind w:left="5103" w:right="-567"/>
      <w:jc w:val="left"/>
    </w:pPr>
  </w:style>
  <w:style w:type="paragraph" w:styleId="References" w:customStyle="1">
    <w:name w:val="References"/>
    <w:basedOn w:val="Normal"/>
    <w:next w:val="AddressTR"/>
    <w:pPr>
      <w:ind w:left="5103"/>
      <w:jc w:val="left"/>
    </w:pPr>
    <w:rPr>
      <w:sz w:val="20"/>
    </w:rPr>
  </w:style>
  <w:style w:type="paragraph" w:styleId="BelgeBalantlar">
    <w:name w:val="Document Map"/>
    <w:basedOn w:val="Normal"/>
    <w:semiHidden w:val="1"/>
    <w:pPr>
      <w:shd w:color="auto" w:fill="000080" w:val="clear"/>
    </w:pPr>
    <w:rPr>
      <w:rFonts w:ascii="Tahoma" w:hAnsi="Tahoma"/>
    </w:rPr>
  </w:style>
  <w:style w:type="paragraph" w:styleId="DoubSign" w:customStyle="1">
    <w:name w:val="DoubSign"/>
    <w:basedOn w:val="Normal"/>
    <w:next w:val="Enclosures"/>
    <w:pPr>
      <w:tabs>
        <w:tab w:val="left" w:pos="5103"/>
      </w:tabs>
      <w:spacing w:after="0" w:before="1200"/>
      <w:jc w:val="left"/>
    </w:pPr>
  </w:style>
  <w:style w:type="paragraph" w:styleId="Enclosures" w:customStyle="1">
    <w:name w:val="Enclosures"/>
    <w:basedOn w:val="Normal"/>
    <w:pPr>
      <w:keepNext w:val="1"/>
      <w:keepLines w:val="1"/>
      <w:tabs>
        <w:tab w:val="left" w:pos="5642"/>
      </w:tabs>
      <w:spacing w:after="0" w:before="480"/>
      <w:ind w:left="1191" w:hanging="1191"/>
      <w:jc w:val="left"/>
    </w:pPr>
  </w:style>
  <w:style w:type="paragraph" w:styleId="SonNotMetni">
    <w:name w:val="endnote text"/>
    <w:basedOn w:val="Normal"/>
    <w:semiHidden w:val="1"/>
    <w:rPr>
      <w:sz w:val="20"/>
    </w:rPr>
  </w:style>
  <w:style w:type="paragraph" w:styleId="MektupAdresi">
    <w:name w:val="envelope address"/>
    <w:basedOn w:val="Normal"/>
    <w:pPr>
      <w:framePr w:lines="0" w:w="7920" w:h="1980" w:hSpace="180" w:wrap="auto" w:hAnchor="page" w:xAlign="center" w:yAlign="bottom" w:hRule="exact"/>
      <w:spacing w:after="0"/>
    </w:pPr>
  </w:style>
  <w:style w:type="paragraph" w:styleId="ZarfDn">
    <w:name w:val="envelope return"/>
    <w:basedOn w:val="Normal"/>
    <w:pPr>
      <w:spacing w:after="0"/>
    </w:pPr>
    <w:rPr>
      <w:sz w:val="20"/>
    </w:rPr>
  </w:style>
  <w:style w:type="paragraph" w:styleId="AltBilgi">
    <w:name w:val="footer"/>
    <w:basedOn w:val="Normal"/>
    <w:pPr>
      <w:spacing w:after="0"/>
      <w:ind w:right="-567"/>
      <w:jc w:val="left"/>
    </w:pPr>
    <w:rPr>
      <w:rFonts w:ascii="Arial" w:hAnsi="Arial"/>
      <w:sz w:val="16"/>
    </w:rPr>
  </w:style>
  <w:style w:type="paragraph" w:styleId="DipnotMetni">
    <w:name w:val="footnote text"/>
    <w:aliases w:val="Schriftart: 9 pt,Schriftart: 10 pt,Schriftart: 8 pt,WB-Fußnotentext,FoodNote,ft,Footnote,Footnote Text Char Char,Footnote Text Char1 Char Char,Footnote Text Char Char Char Char,fn,f,Voetnoottekst Char,Footnote Text Char1 Cha"/>
    <w:basedOn w:val="Normal"/>
    <w:link w:val="DipnotMetniChar"/>
    <w:autoRedefine w:val="1"/>
    <w:qFormat w:val="1"/>
    <w:rsid w:val="0077786E"/>
    <w:pPr>
      <w:spacing w:after="60"/>
    </w:pPr>
    <w:rPr>
      <w:sz w:val="20"/>
    </w:rPr>
  </w:style>
  <w:style w:type="paragraph" w:styleId="stBilgi">
    <w:name w:val="header"/>
    <w:basedOn w:val="Normal"/>
    <w:pPr>
      <w:tabs>
        <w:tab w:val="center" w:pos="4153"/>
        <w:tab w:val="right" w:pos="8306"/>
      </w:tabs>
    </w:pPr>
  </w:style>
  <w:style w:type="paragraph" w:styleId="Dizin1">
    <w:name w:val="index 1"/>
    <w:basedOn w:val="Normal"/>
    <w:next w:val="Normal"/>
    <w:autoRedefine w:val="1"/>
    <w:semiHidden w:val="1"/>
    <w:pPr>
      <w:ind w:left="240" w:hanging="240"/>
    </w:pPr>
  </w:style>
  <w:style w:type="paragraph" w:styleId="Dizin2">
    <w:name w:val="index 2"/>
    <w:basedOn w:val="Normal"/>
    <w:next w:val="Normal"/>
    <w:autoRedefine w:val="1"/>
    <w:semiHidden w:val="1"/>
    <w:pPr>
      <w:ind w:left="480" w:hanging="240"/>
    </w:pPr>
  </w:style>
  <w:style w:type="paragraph" w:styleId="Dizin3">
    <w:name w:val="index 3"/>
    <w:basedOn w:val="Normal"/>
    <w:next w:val="Normal"/>
    <w:autoRedefine w:val="1"/>
    <w:semiHidden w:val="1"/>
    <w:pPr>
      <w:ind w:left="720" w:hanging="240"/>
    </w:pPr>
  </w:style>
  <w:style w:type="paragraph" w:styleId="Dizin4">
    <w:name w:val="index 4"/>
    <w:basedOn w:val="Normal"/>
    <w:next w:val="Normal"/>
    <w:autoRedefine w:val="1"/>
    <w:semiHidden w:val="1"/>
    <w:pPr>
      <w:ind w:left="960" w:hanging="240"/>
    </w:pPr>
  </w:style>
  <w:style w:type="paragraph" w:styleId="Dizin5">
    <w:name w:val="index 5"/>
    <w:basedOn w:val="Normal"/>
    <w:next w:val="Normal"/>
    <w:autoRedefine w:val="1"/>
    <w:semiHidden w:val="1"/>
    <w:pPr>
      <w:ind w:left="1200" w:hanging="240"/>
    </w:pPr>
  </w:style>
  <w:style w:type="paragraph" w:styleId="Dizin6">
    <w:name w:val="index 6"/>
    <w:basedOn w:val="Normal"/>
    <w:next w:val="Normal"/>
    <w:autoRedefine w:val="1"/>
    <w:semiHidden w:val="1"/>
    <w:pPr>
      <w:ind w:left="1440" w:hanging="240"/>
    </w:pPr>
  </w:style>
  <w:style w:type="paragraph" w:styleId="Dizin7">
    <w:name w:val="index 7"/>
    <w:basedOn w:val="Normal"/>
    <w:next w:val="Normal"/>
    <w:autoRedefine w:val="1"/>
    <w:semiHidden w:val="1"/>
    <w:pPr>
      <w:ind w:left="1680" w:hanging="240"/>
    </w:pPr>
  </w:style>
  <w:style w:type="paragraph" w:styleId="Dizin8">
    <w:name w:val="index 8"/>
    <w:basedOn w:val="Normal"/>
    <w:next w:val="Normal"/>
    <w:autoRedefine w:val="1"/>
    <w:semiHidden w:val="1"/>
    <w:pPr>
      <w:ind w:left="1920" w:hanging="240"/>
    </w:pPr>
  </w:style>
  <w:style w:type="paragraph" w:styleId="Dizin9">
    <w:name w:val="index 9"/>
    <w:basedOn w:val="Normal"/>
    <w:next w:val="Normal"/>
    <w:autoRedefine w:val="1"/>
    <w:semiHidden w:val="1"/>
    <w:pPr>
      <w:ind w:left="2160" w:hanging="240"/>
    </w:pPr>
  </w:style>
  <w:style w:type="paragraph" w:styleId="DizinBal">
    <w:name w:val="index heading"/>
    <w:basedOn w:val="Normal"/>
    <w:next w:val="Dizin1"/>
    <w:semiHidden w:val="1"/>
    <w:rPr>
      <w:rFonts w:ascii="Arial" w:hAnsi="Arial"/>
      <w:b w:val="1"/>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rsid w:val="00F976D7"/>
    <w:pPr>
      <w:numPr>
        <w:numId w:val="3"/>
      </w:numPr>
    </w:pPr>
    <w:rPr>
      <w:lang w:eastAsia="en-US"/>
    </w:rPr>
  </w:style>
  <w:style w:type="paragraph" w:styleId="ListeMaddemi2">
    <w:name w:val="List Bullet 2"/>
    <w:basedOn w:val="Text2"/>
    <w:rsid w:val="00F976D7"/>
    <w:pPr>
      <w:tabs>
        <w:tab w:val="clear" w:pos="2161"/>
        <w:tab w:val="num" w:pos="720"/>
      </w:tabs>
      <w:ind w:left="720" w:hanging="720"/>
    </w:pPr>
    <w:rPr>
      <w:lang w:eastAsia="en-US"/>
    </w:rPr>
  </w:style>
  <w:style w:type="paragraph" w:styleId="ListeMaddemi3">
    <w:name w:val="List Bullet 3"/>
    <w:basedOn w:val="Text3"/>
    <w:rsid w:val="00F976D7"/>
    <w:pPr>
      <w:tabs>
        <w:tab w:val="clear" w:pos="2302"/>
        <w:tab w:val="num" w:pos="720"/>
      </w:tabs>
      <w:ind w:left="720" w:hanging="720"/>
    </w:pPr>
    <w:rPr>
      <w:lang w:eastAsia="en-US"/>
    </w:rPr>
  </w:style>
  <w:style w:type="paragraph" w:styleId="ListeMaddemi4">
    <w:name w:val="List Bullet 4"/>
    <w:basedOn w:val="Text4"/>
    <w:rsid w:val="00F976D7"/>
    <w:pPr>
      <w:tabs>
        <w:tab w:val="clear" w:pos="2302"/>
        <w:tab w:val="num" w:pos="720"/>
      </w:tabs>
      <w:ind w:left="720" w:hanging="720"/>
    </w:pPr>
    <w:rPr>
      <w:lang w:eastAsia="en-US"/>
    </w:rPr>
  </w:style>
  <w:style w:type="paragraph" w:styleId="ListeMaddemi5">
    <w:name w:val="List Bullet 5"/>
    <w:basedOn w:val="Normal"/>
    <w:autoRedefine w:val="1"/>
    <w:pPr>
      <w:numPr>
        <w:numId w:val="2"/>
      </w:numPr>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rsid w:val="00F976D7"/>
    <w:pPr>
      <w:tabs>
        <w:tab w:val="num" w:pos="720"/>
      </w:tabs>
      <w:ind w:left="720" w:hanging="720"/>
    </w:pPr>
    <w:rPr>
      <w:lang w:eastAsia="en-US"/>
    </w:rPr>
  </w:style>
  <w:style w:type="paragraph" w:styleId="ListeNumaras2">
    <w:name w:val="List Number 2"/>
    <w:basedOn w:val="Text2"/>
    <w:rsid w:val="00F976D7"/>
    <w:pPr>
      <w:tabs>
        <w:tab w:val="clear" w:pos="2161"/>
        <w:tab w:val="num" w:pos="720"/>
      </w:tabs>
      <w:ind w:left="720" w:hanging="720"/>
    </w:pPr>
    <w:rPr>
      <w:lang w:eastAsia="en-US"/>
    </w:rPr>
  </w:style>
  <w:style w:type="paragraph" w:styleId="ListeNumaras3">
    <w:name w:val="List Number 3"/>
    <w:basedOn w:val="Text3"/>
    <w:rsid w:val="00F976D7"/>
    <w:pPr>
      <w:tabs>
        <w:tab w:val="clear" w:pos="2302"/>
        <w:tab w:val="num" w:pos="720"/>
      </w:tabs>
      <w:ind w:left="720" w:hanging="720"/>
    </w:pPr>
    <w:rPr>
      <w:lang w:eastAsia="en-US"/>
    </w:rPr>
  </w:style>
  <w:style w:type="paragraph" w:styleId="ListeNumaras4">
    <w:name w:val="List Number 4"/>
    <w:basedOn w:val="Text4"/>
    <w:rsid w:val="00F976D7"/>
    <w:pPr>
      <w:tabs>
        <w:tab w:val="clear" w:pos="2302"/>
        <w:tab w:val="num" w:pos="720"/>
      </w:tabs>
      <w:ind w:left="720" w:hanging="720"/>
    </w:pPr>
    <w:rPr>
      <w:lang w:eastAsia="en-US"/>
    </w:rPr>
  </w:style>
  <w:style w:type="paragraph" w:styleId="ListeNumaras5">
    <w:name w:val="List Number 5"/>
    <w:basedOn w:val="Normal"/>
    <w:pPr>
      <w:tabs>
        <w:tab w:val="num" w:pos="720"/>
      </w:tabs>
      <w:ind w:left="720" w:hanging="720"/>
    </w:pPr>
  </w:style>
  <w:style w:type="paragraph" w:styleId="MakroMetni">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GB"/>
    </w:rPr>
  </w:style>
  <w:style w:type="paragraph" w:styleId="letistBilgisi">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NormalGirinti">
    <w:name w:val="Normal Indent"/>
    <w:basedOn w:val="Normal"/>
    <w:pPr>
      <w:ind w:left="720"/>
    </w:pPr>
  </w:style>
  <w:style w:type="paragraph" w:styleId="NotBal">
    <w:name w:val="Note Heading"/>
    <w:basedOn w:val="Normal"/>
    <w:next w:val="Normal"/>
  </w:style>
  <w:style w:type="paragraph" w:styleId="NoteHead" w:customStyle="1">
    <w:name w:val="NoteHead"/>
    <w:basedOn w:val="Normal"/>
    <w:next w:val="Subject"/>
    <w:pPr>
      <w:spacing w:after="720" w:before="720"/>
      <w:jc w:val="center"/>
    </w:pPr>
    <w:rPr>
      <w:b w:val="1"/>
      <w:smallCaps w:val="1"/>
    </w:rPr>
  </w:style>
  <w:style w:type="paragraph" w:styleId="Subject" w:customStyle="1">
    <w:name w:val="Subject"/>
    <w:basedOn w:val="Normal"/>
    <w:next w:val="Normal"/>
    <w:pPr>
      <w:spacing w:after="480"/>
      <w:ind w:left="1191" w:hanging="1191"/>
      <w:jc w:val="left"/>
    </w:pPr>
    <w:rPr>
      <w:b w:val="1"/>
    </w:rPr>
  </w:style>
  <w:style w:type="paragraph" w:styleId="NoteList" w:customStyle="1">
    <w:name w:val="NoteList"/>
    <w:basedOn w:val="Normal"/>
    <w:next w:val="Subject"/>
    <w:pPr>
      <w:tabs>
        <w:tab w:val="left" w:pos="5823"/>
      </w:tabs>
      <w:spacing w:after="720" w:before="720"/>
      <w:ind w:left="5104" w:hanging="3119"/>
      <w:jc w:val="left"/>
    </w:pPr>
    <w:rPr>
      <w:b w:val="1"/>
      <w:smallCaps w:val="1"/>
    </w:rPr>
  </w:style>
  <w:style w:type="paragraph" w:styleId="NumPar1" w:customStyle="1">
    <w:name w:val="NumPar 1"/>
    <w:basedOn w:val="Balk1"/>
    <w:next w:val="Text1"/>
    <w:pPr>
      <w:keepNext w:val="0"/>
      <w:spacing w:before="0"/>
      <w:ind w:left="483" w:hanging="483"/>
      <w:outlineLvl w:val="9"/>
    </w:pPr>
    <w:rPr>
      <w:b w:val="0"/>
      <w:smallCaps w:val="0"/>
    </w:rPr>
  </w:style>
  <w:style w:type="paragraph" w:styleId="NumPar2" w:customStyle="1">
    <w:name w:val="NumPar 2"/>
    <w:basedOn w:val="Balk2"/>
    <w:next w:val="Text2"/>
    <w:pPr>
      <w:keepNext w:val="0"/>
      <w:outlineLvl w:val="9"/>
    </w:pPr>
    <w:rPr>
      <w:b w:val="0"/>
    </w:rPr>
  </w:style>
  <w:style w:type="paragraph" w:styleId="NumPar3" w:customStyle="1">
    <w:name w:val="NumPar 3"/>
    <w:basedOn w:val="Balk3"/>
    <w:next w:val="Text3"/>
    <w:pPr>
      <w:keepNext w:val="0"/>
      <w:outlineLvl w:val="9"/>
    </w:pPr>
    <w:rPr>
      <w:i w:val="0"/>
    </w:rPr>
  </w:style>
  <w:style w:type="paragraph" w:styleId="NumPar4" w:customStyle="1">
    <w:name w:val="NumPar 4"/>
    <w:basedOn w:val="Balk4"/>
    <w:next w:val="Text4"/>
    <w:pPr>
      <w:keepNext w:val="0"/>
      <w:outlineLvl w:val="9"/>
    </w:pPr>
  </w:style>
  <w:style w:type="paragraph" w:styleId="PartTitle" w:customStyle="1">
    <w:name w:val="PartTitle"/>
    <w:basedOn w:val="Normal"/>
    <w:next w:val="ChapterTitle"/>
    <w:pPr>
      <w:keepNext w:val="1"/>
      <w:pageBreakBefore w:val="1"/>
      <w:spacing w:after="480"/>
      <w:jc w:val="center"/>
    </w:pPr>
    <w:rPr>
      <w:b w:val="1"/>
      <w:sz w:val="36"/>
    </w:rPr>
  </w:style>
  <w:style w:type="paragraph" w:styleId="DzMetin">
    <w:name w:val="Plain Text"/>
    <w:basedOn w:val="Normal"/>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after="0" w:before="1200"/>
      <w:ind w:left="5103"/>
      <w:jc w:val="center"/>
    </w:pPr>
  </w:style>
  <w:style w:type="paragraph" w:styleId="SubTitle1" w:customStyle="1">
    <w:name w:val="SubTitle 1"/>
    <w:basedOn w:val="Normal"/>
    <w:next w:val="SubTitle2"/>
    <w:pPr>
      <w:jc w:val="center"/>
    </w:pPr>
    <w:rPr>
      <w:b w:val="1"/>
      <w:sz w:val="40"/>
    </w:rPr>
  </w:style>
  <w:style w:type="paragraph" w:styleId="SubTitle2" w:customStyle="1">
    <w:name w:val="SubTitle 2"/>
    <w:basedOn w:val="Normal"/>
    <w:pPr>
      <w:jc w:val="center"/>
    </w:pPr>
    <w:rPr>
      <w:b w:val="1"/>
      <w:sz w:val="32"/>
    </w:rPr>
  </w:style>
  <w:style w:type="paragraph" w:styleId="Kaynaka">
    <w:name w:val="table of authorities"/>
    <w:basedOn w:val="Normal"/>
    <w:next w:val="Normal"/>
    <w:semiHidden w:val="1"/>
    <w:pPr>
      <w:ind w:left="240" w:hanging="240"/>
    </w:pPr>
  </w:style>
  <w:style w:type="paragraph" w:styleId="ekillerTablosu">
    <w:name w:val="table of figures"/>
    <w:basedOn w:val="Normal"/>
    <w:next w:val="Normal"/>
    <w:semiHidden w:val="1"/>
    <w:pPr>
      <w:ind w:left="480" w:hanging="480"/>
    </w:pPr>
  </w:style>
  <w:style w:type="paragraph" w:styleId="KaynakaBal">
    <w:name w:val="toa heading"/>
    <w:basedOn w:val="Normal"/>
    <w:next w:val="Normal"/>
    <w:semiHidden w:val="1"/>
    <w:pPr>
      <w:spacing w:before="120"/>
    </w:pPr>
    <w:rPr>
      <w:rFonts w:ascii="Arial" w:hAnsi="Arial"/>
      <w:b w:val="1"/>
    </w:rPr>
  </w:style>
  <w:style w:type="paragraph" w:styleId="T1">
    <w:name w:val="toc 1"/>
    <w:basedOn w:val="Normal"/>
    <w:next w:val="Normal"/>
    <w:semiHidden w:val="1"/>
    <w:rsid w:val="00894E32"/>
    <w:pPr>
      <w:tabs>
        <w:tab w:val="right" w:leader="dot" w:pos="8640"/>
      </w:tabs>
      <w:spacing w:after="120" w:before="120"/>
      <w:ind w:left="482" w:right="720" w:hanging="482"/>
    </w:pPr>
    <w:rPr>
      <w:caps w:val="1"/>
      <w:lang w:eastAsia="en-US"/>
    </w:rPr>
  </w:style>
  <w:style w:type="paragraph" w:styleId="T2">
    <w:name w:val="toc 2"/>
    <w:basedOn w:val="Normal"/>
    <w:next w:val="Normal"/>
    <w:semiHidden w:val="1"/>
    <w:rsid w:val="00894E32"/>
    <w:pPr>
      <w:tabs>
        <w:tab w:val="right" w:leader="dot" w:pos="8640"/>
      </w:tabs>
      <w:spacing w:after="60" w:before="60"/>
      <w:ind w:left="1077" w:right="720" w:hanging="595"/>
    </w:pPr>
    <w:rPr>
      <w:lang w:eastAsia="en-US"/>
    </w:rPr>
  </w:style>
  <w:style w:type="paragraph" w:styleId="T3">
    <w:name w:val="toc 3"/>
    <w:basedOn w:val="Normal"/>
    <w:next w:val="Normal"/>
    <w:semiHidden w:val="1"/>
    <w:rsid w:val="00894E32"/>
    <w:pPr>
      <w:tabs>
        <w:tab w:val="right" w:leader="dot" w:pos="8640"/>
      </w:tabs>
      <w:spacing w:after="60" w:before="60"/>
      <w:ind w:left="1916" w:right="720" w:hanging="839"/>
    </w:pPr>
    <w:rPr>
      <w:lang w:eastAsia="en-US"/>
    </w:rPr>
  </w:style>
  <w:style w:type="paragraph" w:styleId="T4">
    <w:name w:val="toc 4"/>
    <w:basedOn w:val="Normal"/>
    <w:next w:val="Normal"/>
    <w:semiHidden w:val="1"/>
    <w:rsid w:val="00894E32"/>
    <w:pPr>
      <w:tabs>
        <w:tab w:val="right" w:leader="dot" w:pos="8641"/>
      </w:tabs>
      <w:spacing w:after="60" w:before="60"/>
      <w:ind w:left="2880" w:right="720" w:hanging="964"/>
    </w:pPr>
    <w:rPr>
      <w:lang w:eastAsia="en-US"/>
    </w:rPr>
  </w:style>
  <w:style w:type="paragraph" w:styleId="T5">
    <w:name w:val="toc 5"/>
    <w:basedOn w:val="Normal"/>
    <w:next w:val="Normal"/>
    <w:semiHidden w:val="1"/>
    <w:rsid w:val="00F976D7"/>
    <w:pPr>
      <w:tabs>
        <w:tab w:val="right" w:leader="dot" w:pos="8641"/>
      </w:tabs>
      <w:spacing w:after="120" w:before="240"/>
      <w:ind w:right="720"/>
    </w:pPr>
    <w:rPr>
      <w:caps w:val="1"/>
      <w:lang w:eastAsia="en-US"/>
    </w:rPr>
  </w:style>
  <w:style w:type="paragraph" w:styleId="T6">
    <w:name w:val="toc 6"/>
    <w:basedOn w:val="Normal"/>
    <w:next w:val="Normal"/>
    <w:autoRedefine w:val="1"/>
    <w:semiHidden w:val="1"/>
    <w:pPr>
      <w:ind w:left="1200"/>
    </w:pPr>
  </w:style>
  <w:style w:type="paragraph" w:styleId="T7">
    <w:name w:val="toc 7"/>
    <w:basedOn w:val="Normal"/>
    <w:next w:val="Normal"/>
    <w:autoRedefine w:val="1"/>
    <w:semiHidden w:val="1"/>
    <w:pPr>
      <w:ind w:left="1440"/>
    </w:pPr>
  </w:style>
  <w:style w:type="paragraph" w:styleId="T8">
    <w:name w:val="toc 8"/>
    <w:basedOn w:val="Normal"/>
    <w:next w:val="Normal"/>
    <w:autoRedefine w:val="1"/>
    <w:semiHidden w:val="1"/>
    <w:pPr>
      <w:ind w:left="1680"/>
    </w:pPr>
  </w:style>
  <w:style w:type="paragraph" w:styleId="T9">
    <w:name w:val="toc 9"/>
    <w:basedOn w:val="Normal"/>
    <w:next w:val="Normal"/>
    <w:autoRedefine w:val="1"/>
    <w:semiHidden w:val="1"/>
    <w:pPr>
      <w:ind w:left="1920"/>
    </w:pPr>
  </w:style>
  <w:style w:type="paragraph" w:styleId="YReferences" w:customStyle="1">
    <w:name w:val="YReferences"/>
    <w:basedOn w:val="Normal"/>
    <w:next w:val="Normal"/>
    <w:pPr>
      <w:spacing w:after="480"/>
      <w:ind w:left="1191" w:hanging="1191"/>
    </w:pPr>
  </w:style>
  <w:style w:type="character" w:styleId="DipnotBavurusu">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val="1"/>
    <w:rPr>
      <w:rFonts w:ascii="TimesNewRomanPS" w:hAnsi="TimesNewRomanPS"/>
      <w:position w:val="6"/>
      <w:sz w:val="16"/>
    </w:rPr>
  </w:style>
  <w:style w:type="character" w:styleId="SayfaNumaras">
    <w:name w:val="page number"/>
    <w:basedOn w:val="VarsaylanParagrafYazTipi"/>
  </w:style>
  <w:style w:type="paragraph" w:styleId="Heading2b" w:customStyle="1">
    <w:name w:val="Heading2b"/>
    <w:basedOn w:val="Normal"/>
    <w:pPr>
      <w:ind w:left="567" w:hanging="567"/>
      <w:jc w:val="center"/>
    </w:pPr>
    <w:rPr>
      <w:b w:val="1"/>
      <w:sz w:val="20"/>
      <w:u w:val="single"/>
    </w:rPr>
  </w:style>
  <w:style w:type="paragraph" w:styleId="Annexetitle" w:customStyle="1">
    <w:name w:val="Annexe_title"/>
    <w:basedOn w:val="Balk1"/>
    <w:next w:val="Normal"/>
    <w:autoRedefine w:val="1"/>
    <w:pPr>
      <w:keepNext w:val="0"/>
      <w:pageBreakBefore w:val="1"/>
      <w:numPr>
        <w:numId w:val="0"/>
      </w:numPr>
      <w:tabs>
        <w:tab w:val="left" w:pos="1701"/>
        <w:tab w:val="left" w:pos="2552"/>
      </w:tabs>
      <w:outlineLvl w:val="9"/>
    </w:pPr>
    <w:rPr>
      <w:rFonts w:ascii="Arial" w:hAnsi="Arial"/>
      <w:b w:val="0"/>
      <w:caps w:val="1"/>
      <w:smallCaps w:val="0"/>
      <w:kern w:val="0"/>
      <w:sz w:val="32"/>
    </w:rPr>
  </w:style>
  <w:style w:type="character" w:styleId="Kpr">
    <w:name w:val="Hyperlink"/>
    <w:rPr>
      <w:color w:val="0000ff"/>
      <w:u w:val="single"/>
    </w:rPr>
  </w:style>
  <w:style w:type="paragraph" w:styleId="normaltableau" w:customStyle="1">
    <w:name w:val="normal_tableau"/>
    <w:basedOn w:val="Normal"/>
    <w:pPr>
      <w:spacing w:after="120" w:before="120"/>
    </w:pPr>
    <w:rPr>
      <w:rFonts w:ascii="Optima" w:hAnsi="Optima"/>
      <w:sz w:val="22"/>
    </w:rPr>
  </w:style>
  <w:style w:type="paragraph" w:styleId="Contact" w:customStyle="1">
    <w:name w:val="Contact"/>
    <w:basedOn w:val="Normal"/>
    <w:next w:val="Normal"/>
    <w:rsid w:val="00F976D7"/>
    <w:pPr>
      <w:spacing w:after="480"/>
      <w:ind w:left="567" w:hanging="567"/>
      <w:jc w:val="left"/>
    </w:pPr>
    <w:rPr>
      <w:lang w:eastAsia="en-US"/>
    </w:rPr>
  </w:style>
  <w:style w:type="paragraph" w:styleId="ListBullet1" w:customStyle="1">
    <w:name w:val="List Bullet 1"/>
    <w:basedOn w:val="Text1"/>
    <w:rsid w:val="00F976D7"/>
    <w:pPr>
      <w:tabs>
        <w:tab w:val="num" w:pos="720"/>
      </w:tabs>
      <w:ind w:left="720" w:hanging="720"/>
    </w:pPr>
    <w:rPr>
      <w:lang w:eastAsia="en-US"/>
    </w:rPr>
  </w:style>
  <w:style w:type="paragraph" w:styleId="ListDash" w:customStyle="1">
    <w:name w:val="List Dash"/>
    <w:basedOn w:val="Normal"/>
    <w:rsid w:val="00F976D7"/>
    <w:pPr>
      <w:tabs>
        <w:tab w:val="num" w:pos="720"/>
      </w:tabs>
      <w:ind w:left="720" w:hanging="720"/>
    </w:pPr>
    <w:rPr>
      <w:lang w:eastAsia="en-US"/>
    </w:rPr>
  </w:style>
  <w:style w:type="paragraph" w:styleId="ListDash1" w:customStyle="1">
    <w:name w:val="List Dash 1"/>
    <w:basedOn w:val="Text1"/>
    <w:rsid w:val="00F976D7"/>
    <w:pPr>
      <w:tabs>
        <w:tab w:val="num" w:pos="720"/>
      </w:tabs>
      <w:ind w:left="720" w:hanging="720"/>
    </w:pPr>
    <w:rPr>
      <w:lang w:eastAsia="en-US"/>
    </w:rPr>
  </w:style>
  <w:style w:type="paragraph" w:styleId="ListDash2" w:customStyle="1">
    <w:name w:val="List Dash 2"/>
    <w:basedOn w:val="Text2"/>
    <w:rsid w:val="00F976D7"/>
    <w:pPr>
      <w:tabs>
        <w:tab w:val="clear" w:pos="2161"/>
        <w:tab w:val="num" w:pos="720"/>
      </w:tabs>
      <w:ind w:left="720" w:hanging="720"/>
    </w:pPr>
    <w:rPr>
      <w:lang w:eastAsia="en-US"/>
    </w:rPr>
  </w:style>
  <w:style w:type="paragraph" w:styleId="ListDash3" w:customStyle="1">
    <w:name w:val="List Dash 3"/>
    <w:basedOn w:val="Text3"/>
    <w:rsid w:val="00F976D7"/>
    <w:pPr>
      <w:tabs>
        <w:tab w:val="clear" w:pos="2302"/>
        <w:tab w:val="num" w:pos="720"/>
      </w:tabs>
      <w:ind w:left="720" w:hanging="720"/>
    </w:pPr>
    <w:rPr>
      <w:lang w:eastAsia="en-US"/>
    </w:rPr>
  </w:style>
  <w:style w:type="paragraph" w:styleId="ListDash4" w:customStyle="1">
    <w:name w:val="List Dash 4"/>
    <w:basedOn w:val="Text4"/>
    <w:rsid w:val="00F976D7"/>
    <w:pPr>
      <w:tabs>
        <w:tab w:val="clear" w:pos="2302"/>
        <w:tab w:val="num" w:pos="720"/>
      </w:tabs>
      <w:ind w:left="720" w:hanging="720"/>
    </w:pPr>
    <w:rPr>
      <w:lang w:eastAsia="en-US"/>
    </w:rPr>
  </w:style>
  <w:style w:type="paragraph" w:styleId="ListNumber1" w:customStyle="1">
    <w:name w:val="List Number 1"/>
    <w:basedOn w:val="Text1"/>
    <w:rsid w:val="00F976D7"/>
    <w:pPr>
      <w:tabs>
        <w:tab w:val="num" w:pos="720"/>
      </w:tabs>
      <w:ind w:left="720" w:hanging="720"/>
    </w:pPr>
    <w:rPr>
      <w:lang w:eastAsia="en-US"/>
    </w:rPr>
  </w:style>
  <w:style w:type="paragraph" w:styleId="ListNumberLevel2" w:customStyle="1">
    <w:name w:val="List Number (Level 2)"/>
    <w:basedOn w:val="Normal"/>
    <w:rsid w:val="00F976D7"/>
    <w:pPr>
      <w:numPr>
        <w:ilvl w:val="1"/>
        <w:numId w:val="7"/>
      </w:numPr>
    </w:pPr>
    <w:rPr>
      <w:lang w:eastAsia="en-US"/>
    </w:rPr>
  </w:style>
  <w:style w:type="paragraph" w:styleId="ListNumber1Level2" w:customStyle="1">
    <w:name w:val="List Number 1 (Level 2)"/>
    <w:basedOn w:val="Text1"/>
    <w:rsid w:val="00F976D7"/>
    <w:pPr>
      <w:tabs>
        <w:tab w:val="num" w:pos="1440"/>
      </w:tabs>
      <w:ind w:left="1440" w:hanging="720"/>
    </w:pPr>
    <w:rPr>
      <w:lang w:eastAsia="en-US"/>
    </w:rPr>
  </w:style>
  <w:style w:type="paragraph" w:styleId="ListNumber2Level2" w:customStyle="1">
    <w:name w:val="List Number 2 (Level 2)"/>
    <w:basedOn w:val="Text2"/>
    <w:rsid w:val="00F976D7"/>
    <w:pPr>
      <w:tabs>
        <w:tab w:val="clear" w:pos="2161"/>
        <w:tab w:val="num" w:pos="1440"/>
      </w:tabs>
      <w:ind w:left="1440" w:hanging="720"/>
    </w:pPr>
    <w:rPr>
      <w:lang w:eastAsia="en-US"/>
    </w:rPr>
  </w:style>
  <w:style w:type="paragraph" w:styleId="ListNumber3Level2" w:customStyle="1">
    <w:name w:val="List Number 3 (Level 2)"/>
    <w:basedOn w:val="Text3"/>
    <w:rsid w:val="00F976D7"/>
    <w:pPr>
      <w:tabs>
        <w:tab w:val="clear" w:pos="2302"/>
        <w:tab w:val="num" w:pos="1440"/>
      </w:tabs>
      <w:ind w:left="1440" w:hanging="720"/>
    </w:pPr>
    <w:rPr>
      <w:lang w:eastAsia="en-US"/>
    </w:rPr>
  </w:style>
  <w:style w:type="paragraph" w:styleId="ListNumber4Level2" w:customStyle="1">
    <w:name w:val="List Number 4 (Level 2)"/>
    <w:basedOn w:val="Text4"/>
    <w:rsid w:val="00F976D7"/>
    <w:pPr>
      <w:tabs>
        <w:tab w:val="clear" w:pos="2302"/>
        <w:tab w:val="num" w:pos="1440"/>
      </w:tabs>
      <w:ind w:left="1440" w:hanging="720"/>
    </w:pPr>
    <w:rPr>
      <w:lang w:eastAsia="en-US"/>
    </w:rPr>
  </w:style>
  <w:style w:type="paragraph" w:styleId="ListNumberLevel3" w:customStyle="1">
    <w:name w:val="List Number (Level 3)"/>
    <w:basedOn w:val="Normal"/>
    <w:rsid w:val="00F976D7"/>
    <w:pPr>
      <w:numPr>
        <w:ilvl w:val="2"/>
        <w:numId w:val="7"/>
      </w:numPr>
    </w:pPr>
    <w:rPr>
      <w:lang w:eastAsia="en-US"/>
    </w:rPr>
  </w:style>
  <w:style w:type="paragraph" w:styleId="ListNumber1Level3" w:customStyle="1">
    <w:name w:val="List Number 1 (Level 3)"/>
    <w:basedOn w:val="Text1"/>
    <w:rsid w:val="00F976D7"/>
    <w:pPr>
      <w:tabs>
        <w:tab w:val="num" w:pos="2160"/>
      </w:tabs>
      <w:ind w:left="2160" w:hanging="720"/>
    </w:pPr>
    <w:rPr>
      <w:lang w:eastAsia="en-US"/>
    </w:rPr>
  </w:style>
  <w:style w:type="paragraph" w:styleId="ListNumber2Level3" w:customStyle="1">
    <w:name w:val="List Number 2 (Level 3)"/>
    <w:basedOn w:val="Text2"/>
    <w:rsid w:val="00F976D7"/>
    <w:pPr>
      <w:tabs>
        <w:tab w:val="clear" w:pos="2161"/>
      </w:tabs>
      <w:ind w:left="2160" w:hanging="720"/>
    </w:pPr>
    <w:rPr>
      <w:lang w:eastAsia="en-US"/>
    </w:rPr>
  </w:style>
  <w:style w:type="paragraph" w:styleId="ListNumber3Level3" w:customStyle="1">
    <w:name w:val="List Number 3 (Level 3)"/>
    <w:basedOn w:val="Text3"/>
    <w:rsid w:val="00F976D7"/>
    <w:pPr>
      <w:tabs>
        <w:tab w:val="clear" w:pos="2302"/>
        <w:tab w:val="num" w:pos="2160"/>
      </w:tabs>
      <w:ind w:left="2160" w:hanging="720"/>
    </w:pPr>
    <w:rPr>
      <w:lang w:eastAsia="en-US"/>
    </w:rPr>
  </w:style>
  <w:style w:type="paragraph" w:styleId="ListNumber4Level3" w:customStyle="1">
    <w:name w:val="List Number 4 (Level 3)"/>
    <w:basedOn w:val="Text4"/>
    <w:rsid w:val="00F976D7"/>
    <w:pPr>
      <w:tabs>
        <w:tab w:val="clear" w:pos="2302"/>
        <w:tab w:val="num" w:pos="2160"/>
      </w:tabs>
      <w:ind w:left="2160" w:hanging="720"/>
    </w:pPr>
    <w:rPr>
      <w:lang w:eastAsia="en-US"/>
    </w:rPr>
  </w:style>
  <w:style w:type="paragraph" w:styleId="ListNumberLevel4" w:customStyle="1">
    <w:name w:val="List Number (Level 4)"/>
    <w:basedOn w:val="Normal"/>
    <w:rsid w:val="00F976D7"/>
    <w:pPr>
      <w:numPr>
        <w:ilvl w:val="3"/>
        <w:numId w:val="7"/>
      </w:numPr>
    </w:pPr>
    <w:rPr>
      <w:lang w:eastAsia="en-US"/>
    </w:rPr>
  </w:style>
  <w:style w:type="paragraph" w:styleId="ListNumber1Level4" w:customStyle="1">
    <w:name w:val="List Number 1 (Level 4)"/>
    <w:basedOn w:val="Text1"/>
    <w:rsid w:val="00F976D7"/>
    <w:pPr>
      <w:tabs>
        <w:tab w:val="num" w:pos="2880"/>
      </w:tabs>
      <w:ind w:left="2880" w:hanging="720"/>
    </w:pPr>
    <w:rPr>
      <w:lang w:eastAsia="en-US"/>
    </w:rPr>
  </w:style>
  <w:style w:type="paragraph" w:styleId="ListNumber2Level4" w:customStyle="1">
    <w:name w:val="List Number 2 (Level 4)"/>
    <w:basedOn w:val="Text2"/>
    <w:rsid w:val="00F976D7"/>
    <w:pPr>
      <w:tabs>
        <w:tab w:val="clear" w:pos="2161"/>
        <w:tab w:val="num" w:pos="2880"/>
      </w:tabs>
      <w:ind w:left="2880" w:hanging="720"/>
    </w:pPr>
    <w:rPr>
      <w:lang w:eastAsia="en-US"/>
    </w:rPr>
  </w:style>
  <w:style w:type="paragraph" w:styleId="ListNumber3Level4" w:customStyle="1">
    <w:name w:val="List Number 3 (Level 4)"/>
    <w:basedOn w:val="Text3"/>
    <w:rsid w:val="00F976D7"/>
    <w:pPr>
      <w:tabs>
        <w:tab w:val="clear" w:pos="2302"/>
        <w:tab w:val="num" w:pos="2880"/>
      </w:tabs>
      <w:ind w:left="2880" w:hanging="720"/>
    </w:pPr>
    <w:rPr>
      <w:lang w:eastAsia="en-US"/>
    </w:rPr>
  </w:style>
  <w:style w:type="paragraph" w:styleId="ListNumber4Level4" w:customStyle="1">
    <w:name w:val="List Number 4 (Level 4)"/>
    <w:basedOn w:val="Text4"/>
    <w:rsid w:val="00F976D7"/>
    <w:pPr>
      <w:tabs>
        <w:tab w:val="clear" w:pos="2302"/>
        <w:tab w:val="num" w:pos="2880"/>
      </w:tabs>
      <w:ind w:left="2880" w:hanging="720"/>
    </w:pPr>
    <w:rPr>
      <w:lang w:eastAsia="en-US"/>
    </w:rPr>
  </w:style>
  <w:style w:type="paragraph" w:styleId="TBal">
    <w:name w:val="TOC Heading"/>
    <w:basedOn w:val="Normal"/>
    <w:next w:val="Normal"/>
    <w:qFormat w:val="1"/>
    <w:rsid w:val="00F976D7"/>
    <w:pPr>
      <w:keepNext w:val="1"/>
      <w:spacing w:before="240"/>
      <w:jc w:val="center"/>
    </w:pPr>
    <w:rPr>
      <w:b w:val="1"/>
      <w:lang w:eastAsia="en-US"/>
    </w:rPr>
  </w:style>
  <w:style w:type="character" w:styleId="zlenenKpr">
    <w:name w:val="FollowedHyperlink"/>
    <w:rsid w:val="00AA6916"/>
    <w:rPr>
      <w:color w:val="606420"/>
      <w:u w:val="single"/>
    </w:rPr>
  </w:style>
  <w:style w:type="character" w:styleId="AklamaBavurusu">
    <w:name w:val="annotation reference"/>
    <w:semiHidden w:val="1"/>
    <w:rsid w:val="0037119C"/>
    <w:rPr>
      <w:sz w:val="16"/>
      <w:szCs w:val="16"/>
    </w:rPr>
  </w:style>
  <w:style w:type="paragraph" w:styleId="AklamaKonusu">
    <w:name w:val="annotation subject"/>
    <w:basedOn w:val="AklamaMetni"/>
    <w:next w:val="AklamaMetni"/>
    <w:semiHidden w:val="1"/>
    <w:rsid w:val="0037119C"/>
    <w:rPr>
      <w:b w:val="1"/>
      <w:bCs w:val="1"/>
    </w:rPr>
  </w:style>
  <w:style w:type="paragraph" w:styleId="BalonMetni">
    <w:name w:val="Balloon Text"/>
    <w:basedOn w:val="Normal"/>
    <w:semiHidden w:val="1"/>
    <w:rsid w:val="0037119C"/>
    <w:rPr>
      <w:rFonts w:ascii="Tahoma" w:hAnsi="Tahoma"/>
      <w:sz w:val="16"/>
      <w:szCs w:val="16"/>
    </w:rPr>
  </w:style>
  <w:style w:type="character" w:styleId="Vurgu">
    <w:name w:val="Emphasis"/>
    <w:qFormat w:val="1"/>
    <w:rsid w:val="00D32B0A"/>
    <w:rPr>
      <w:i w:val="1"/>
    </w:rPr>
  </w:style>
  <w:style w:type="character" w:styleId="DefaultMargins" w:customStyle="1">
    <w:name w:val="DefaultMargins"/>
    <w:rsid w:val="00C233EC"/>
    <w:rPr>
      <w:rFonts w:ascii="Times New Roman" w:cs="Times New Roman" w:hAnsi="Times New Roman"/>
      <w:sz w:val="24"/>
      <w:szCs w:val="24"/>
      <w:lang w:val="en-US"/>
    </w:rPr>
  </w:style>
  <w:style w:type="character" w:styleId="tw4winMark" w:customStyle="1">
    <w:name w:val="tw4winMark"/>
    <w:rsid w:val="00C233EC"/>
    <w:rPr>
      <w:rFonts w:ascii="Times New Roman" w:cs="Times New Roman" w:hAnsi="Times New Roman"/>
      <w:vanish w:val="1"/>
      <w:color w:val="800080"/>
      <w:sz w:val="24"/>
      <w:szCs w:val="24"/>
      <w:vertAlign w:val="subscript"/>
    </w:rPr>
  </w:style>
  <w:style w:type="character" w:styleId="Balk1Char" w:customStyle="1">
    <w:name w:val="Başlık 1 Char"/>
    <w:link w:val="Balk1"/>
    <w:rsid w:val="00C233EC"/>
    <w:rPr>
      <w:b w:val="1"/>
      <w:smallCaps w:val="1"/>
      <w:kern w:val="28"/>
      <w:sz w:val="24"/>
    </w:rPr>
  </w:style>
  <w:style w:type="paragraph" w:styleId="StyleListNumber11ptBold" w:customStyle="1">
    <w:name w:val="Style List Number + 11 pt Bold"/>
    <w:basedOn w:val="ListeNumaras"/>
    <w:autoRedefine w:val="1"/>
    <w:rsid w:val="00212B1D"/>
    <w:pPr>
      <w:tabs>
        <w:tab w:val="clear" w:pos="720"/>
      </w:tabs>
      <w:spacing w:after="120" w:before="240"/>
      <w:ind w:left="567" w:hanging="567"/>
    </w:pPr>
    <w:rPr>
      <w:b w:val="1"/>
      <w:bCs w:val="1"/>
    </w:rPr>
  </w:style>
  <w:style w:type="character" w:styleId="StyleFootnoteReferenceTimesNewRoman11pt" w:customStyle="1">
    <w:name w:val="Style Footnote Reference + Times New Roman 11 pt"/>
    <w:rsid w:val="00A91FA0"/>
    <w:rPr>
      <w:rFonts w:ascii="Times New Roman" w:hAnsi="Times New Roman"/>
      <w:position w:val="6"/>
      <w:sz w:val="20"/>
    </w:rPr>
  </w:style>
  <w:style w:type="character" w:styleId="AklamaMetniChar" w:customStyle="1">
    <w:name w:val="Açıklama Metni Char"/>
    <w:link w:val="AklamaMetni"/>
    <w:uiPriority w:val="99"/>
    <w:semiHidden w:val="1"/>
    <w:rsid w:val="00990C4F"/>
  </w:style>
  <w:style w:type="paragraph" w:styleId="ListeParagraf">
    <w:name w:val="List Paragraph"/>
    <w:basedOn w:val="Normal"/>
    <w:uiPriority w:val="34"/>
    <w:qFormat w:val="1"/>
    <w:rsid w:val="000C56F1"/>
    <w:pPr>
      <w:spacing w:after="200" w:line="276" w:lineRule="auto"/>
      <w:ind w:left="720"/>
      <w:contextualSpacing w:val="1"/>
      <w:jc w:val="left"/>
    </w:pPr>
    <w:rPr>
      <w:rFonts w:ascii="Calibri" w:eastAsia="Calibri" w:hAnsi="Calibri"/>
      <w:sz w:val="22"/>
      <w:szCs w:val="22"/>
      <w:lang w:eastAsia="en-US"/>
    </w:rPr>
  </w:style>
  <w:style w:type="character" w:styleId="DipnotMetniChar" w:customStyle="1">
    <w:name w:val="Dipnot Metni Char"/>
    <w:aliases w:val="Schriftart: 9 pt Char,Schriftart: 10 pt Char,Schriftart: 8 pt Char,WB-Fußnotentext Char,FoodNote Char,ft Char,Footnote Char,Footnote Text Char Char Char,Footnote Text Char1 Char Char Char,Footnote Text Char Char Char Char Char,fn Char"/>
    <w:link w:val="DipnotMetni"/>
    <w:rsid w:val="00C1075A"/>
  </w:style>
  <w:style w:type="paragraph" w:styleId="Char2" w:customStyle="1">
    <w:name w:val="Char2"/>
    <w:basedOn w:val="Normal"/>
    <w:link w:val="DipnotBavurusu"/>
    <w:rsid w:val="00C1075A"/>
    <w:pPr>
      <w:spacing w:after="160" w:line="240" w:lineRule="exact"/>
      <w:jc w:val="left"/>
    </w:pPr>
    <w:rPr>
      <w:rFonts w:ascii="TimesNewRomanPS" w:hAnsi="TimesNewRomanPS"/>
      <w:position w:val="6"/>
      <w:sz w:val="16"/>
    </w:rPr>
  </w:style>
  <w:style w:type="table" w:styleId="a" w:customStyle="1">
    <w:basedOn w:val="NormalTablo"/>
    <w:tblPr>
      <w:tblStyleRowBandSize w:val="1"/>
      <w:tblStyleColBandSize w:val="1"/>
      <w:tblCellMar>
        <w:left w:w="115.0" w:type="dxa"/>
        <w:right w:w="115.0" w:type="dxa"/>
      </w:tblCellMar>
    </w:tblPr>
  </w:style>
  <w:style w:type="table" w:styleId="a0" w:customStyle="1">
    <w:basedOn w:val="NormalTablo"/>
    <w:tblPr>
      <w:tblStyleRowBandSize w:val="1"/>
      <w:tblStyleColBandSize w:val="1"/>
      <w:tblCellMar>
        <w:left w:w="115.0" w:type="dxa"/>
        <w:right w:w="115.0" w:type="dxa"/>
      </w:tblCellMar>
    </w:tblPr>
  </w:style>
  <w:style w:type="table" w:styleId="a1" w:customStyle="1">
    <w:basedOn w:val="NormalTablo"/>
    <w:tblPr>
      <w:tblStyleRowBandSize w:val="1"/>
      <w:tblStyleColBandSize w:val="1"/>
      <w:tblCellMar>
        <w:left w:w="115.0" w:type="dxa"/>
        <w:right w:w="115.0" w:type="dxa"/>
      </w:tblCellMar>
    </w:tblPr>
  </w:style>
  <w:style w:type="table" w:styleId="a2" w:customStyle="1">
    <w:basedOn w:val="NormalTablo"/>
    <w:tblPr>
      <w:tblStyleRowBandSize w:val="1"/>
      <w:tblStyleColBandSize w:val="1"/>
      <w:tblCellMar>
        <w:left w:w="115.0" w:type="dxa"/>
        <w:right w:w="115.0" w:type="dxa"/>
      </w:tblCellMar>
    </w:tblPr>
  </w:style>
  <w:style w:type="table" w:styleId="a3" w:customStyle="1">
    <w:basedOn w:val="NormalTablo"/>
    <w:tblPr>
      <w:tblStyleRowBandSize w:val="1"/>
      <w:tblStyleColBandSize w:val="1"/>
      <w:tblCellMar>
        <w:left w:w="115.0" w:type="dxa"/>
        <w:right w:w="115.0" w:type="dxa"/>
      </w:tblCellMar>
    </w:tblPr>
  </w:style>
  <w:style w:type="paragraph" w:styleId="Subtitle">
    <w:name w:val="Subtitle"/>
    <w:basedOn w:val="Normal"/>
    <w:next w:val="Normal"/>
    <w:pPr>
      <w:spacing w:after="60" w:lineRule="auto"/>
      <w:jc w:val="center"/>
    </w:pPr>
    <w:rPr>
      <w:rFonts w:ascii="Arial" w:cs="Arial" w:eastAsia="Arial" w:hAnsi="Arial"/>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isplay/ExactExternalWiki/Annexes#Annexes-AnnexesA(Ch.2):Gener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JYSSVdoUAF9Y9W5HF2m4fy1eoA==">CgMxLjAyDmgubHh0aG13ZHN5dDdnOAByITFWMHU5R0t4cnZidExGTGVWaWk1TTN0bk5RSDNHSjVmSg==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2020-04-17T17:06:00Z</dcterms:created>
  <dc:creator>Roslyn Bottoni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_AdHocReviewCycleID">
    <vt:i4>1244235845</vt:i4>
  </property>
  <property fmtid="{D5CDD505-2E9C-101B-9397-08002B2CF9AE}" pid="7" name="_ReviewingToolsShownOnce">
    <vt:lpwstr/>
  </property>
  <property fmtid="{D5CDD505-2E9C-101B-9397-08002B2CF9AE}" pid="8" name="Checked by">
    <vt:lpwstr>cajalja</vt:lpwstr>
  </property>
  <property fmtid="{D5CDD505-2E9C-101B-9397-08002B2CF9AE}" pid="9" name="Editor">
    <vt:lpwstr>kilbyrn</vt:lpwstr>
  </property>
  <property fmtid="{D5CDD505-2E9C-101B-9397-08002B2CF9AE}" pid="10" name="ELDocType">
    <vt:lpwstr>REP.DOT</vt:lpwstr>
  </property>
  <property fmtid="{D5CDD505-2E9C-101B-9397-08002B2CF9AE}" pid="11" name="GrammarlyDocumentId">
    <vt:lpwstr>8f37c6d02c9575eb37f7d823643a7c5bd7b5eeef41d8a3dcc2ea78fd7f42916f</vt:lpwstr>
  </property>
</Properties>
</file>