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DRAFT CONTRACT</w:t>
      </w:r>
    </w:p>
    <w:p w:rsidR="00000000" w:rsidDel="00000000" w:rsidP="00000000" w:rsidRDefault="00000000" w:rsidRPr="00000000" w14:paraId="00000002">
      <w:pPr>
        <w:spacing w:before="360" w:lineRule="auto"/>
        <w:jc w:val="cente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SERVICE CONTRACT FOR EUROPEAN UNION EXTERNAL ACTIONS</w:t>
      </w:r>
    </w:p>
    <w:p w:rsidR="00000000" w:rsidDel="00000000" w:rsidP="00000000" w:rsidRDefault="00000000" w:rsidRPr="00000000" w14:paraId="00000003">
      <w:pPr>
        <w:jc w:val="cente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No. </w:t>
      </w:r>
      <w:r w:rsidDel="00000000" w:rsidR="00000000" w:rsidRPr="00000000">
        <w:rPr>
          <w:rFonts w:ascii="Times New Roman" w:cs="Times New Roman" w:eastAsia="Times New Roman" w:hAnsi="Times New Roman"/>
          <w:b w:val="1"/>
          <w:sz w:val="22"/>
          <w:szCs w:val="22"/>
          <w:rtl w:val="0"/>
        </w:rPr>
        <w:t xml:space="preserve">IPA III/2024/457-197/TK-007</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mallCaps w:val="1"/>
          <w:sz w:val="22"/>
          <w:szCs w:val="22"/>
          <w:rtl w:val="0"/>
        </w:rPr>
        <w:t xml:space="preserve">financed from the general budget of the Union</w:t>
      </w:r>
      <w:r w:rsidDel="00000000" w:rsidR="00000000" w:rsidRPr="00000000">
        <w:rPr>
          <w:rtl w:val="0"/>
        </w:rPr>
      </w:r>
    </w:p>
    <w:p w:rsidR="00000000" w:rsidDel="00000000" w:rsidP="00000000" w:rsidRDefault="00000000" w:rsidRPr="00000000" w14:paraId="00000005">
      <w:pPr>
        <w:widowControl w:val="0"/>
        <w:spacing w:after="100" w:before="10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REDI Turkiye  (ROMAN GİRİŞİMCİLİĞİNİ GELİŞTİRME İNİSİYATİFİ DERNEĞİ)</w:t>
      </w:r>
    </w:p>
    <w:p w:rsidR="00000000" w:rsidDel="00000000" w:rsidP="00000000" w:rsidRDefault="00000000" w:rsidRPr="00000000" w14:paraId="00000006">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w:t>
      </w:r>
    </w:p>
    <w:p w:rsidR="00000000" w:rsidDel="00000000" w:rsidP="00000000" w:rsidRDefault="00000000" w:rsidRPr="00000000" w14:paraId="00000007">
      <w:pPr>
        <w:spacing w:after="12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one part,</w:t>
      </w:r>
    </w:p>
    <w:p w:rsidR="00000000" w:rsidDel="00000000" w:rsidP="00000000" w:rsidRDefault="00000000" w:rsidRPr="00000000" w14:paraId="00000008">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w:t>
      </w:r>
    </w:p>
    <w:p w:rsidR="00000000" w:rsidDel="00000000" w:rsidP="00000000" w:rsidRDefault="00000000" w:rsidRPr="00000000" w14:paraId="00000009">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Full official</w:t>
      </w:r>
      <w:r w:rsidDel="00000000" w:rsidR="00000000" w:rsidRPr="00000000">
        <w:rPr>
          <w:rFonts w:ascii="Times New Roman" w:cs="Times New Roman" w:eastAsia="Times New Roman" w:hAnsi="Times New Roman"/>
          <w:color w:val="00ff00"/>
          <w:sz w:val="22"/>
          <w:szCs w:val="22"/>
          <w:highlight w:val="yellow"/>
          <w:rtl w:val="0"/>
        </w:rPr>
        <w:t xml:space="preserve"> </w:t>
      </w:r>
      <w:r w:rsidDel="00000000" w:rsidR="00000000" w:rsidRPr="00000000">
        <w:rPr>
          <w:rFonts w:ascii="Times New Roman" w:cs="Times New Roman" w:eastAsia="Times New Roman" w:hAnsi="Times New Roman"/>
          <w:sz w:val="22"/>
          <w:szCs w:val="22"/>
          <w:highlight w:val="yellow"/>
          <w:rtl w:val="0"/>
        </w:rPr>
        <w:t xml:space="preserve">name of the contractor</w:t>
      </w:r>
      <w:r w:rsidDel="00000000" w:rsidR="00000000" w:rsidRPr="00000000">
        <w:rPr>
          <w:rFonts w:ascii="Times New Roman" w:cs="Times New Roman" w:eastAsia="Times New Roman" w:hAnsi="Times New Roman"/>
          <w:sz w:val="22"/>
          <w:szCs w:val="22"/>
          <w:rtl w:val="0"/>
        </w:rPr>
        <w:t xml:space="preserve">&gt; </w:t>
      </w:r>
    </w:p>
    <w:p w:rsidR="00000000" w:rsidDel="00000000" w:rsidP="00000000" w:rsidRDefault="00000000" w:rsidRPr="00000000" w14:paraId="0000000A">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Legal status/title</w:t>
      </w:r>
      <w:r w:rsidDel="00000000" w:rsidR="00000000" w:rsidRPr="00000000">
        <w:rPr>
          <w:rFonts w:ascii="Times New Roman" w:cs="Times New Roman" w:eastAsia="Times New Roman" w:hAnsi="Times New Roman"/>
          <w:sz w:val="22"/>
          <w:szCs w:val="22"/>
          <w:rtl w:val="0"/>
        </w:rPr>
        <w:t xml:space="preserve">&gt;]</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Official registration number</w:t>
      </w:r>
      <w:r w:rsidDel="00000000" w:rsidR="00000000" w:rsidRPr="00000000">
        <w:rPr>
          <w:rFonts w:ascii="Times New Roman" w:cs="Times New Roman" w:eastAsia="Times New Roman" w:hAnsi="Times New Roman"/>
          <w:sz w:val="22"/>
          <w:szCs w:val="22"/>
          <w:rtl w:val="0"/>
        </w:rPr>
        <w:t xml:space="preserve">&gt;]</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C">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Full official address</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00D">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VAT number</w:t>
      </w:r>
      <w:r w:rsidDel="00000000" w:rsidR="00000000" w:rsidRPr="00000000">
        <w:rPr>
          <w:rFonts w:ascii="Times New Roman" w:cs="Times New Roman" w:eastAsia="Times New Roman" w:hAnsi="Times New Roman"/>
          <w:sz w:val="22"/>
          <w:szCs w:val="22"/>
          <w:rtl w:val="0"/>
        </w:rPr>
        <w:t xml:space="preserve">&gt;]</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0E">
      <w:pPr>
        <w:spacing w:after="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w:t>
      </w:r>
    </w:p>
    <w:p w:rsidR="00000000" w:rsidDel="00000000" w:rsidP="00000000" w:rsidRDefault="00000000" w:rsidRPr="00000000" w14:paraId="00000010">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other part,</w:t>
      </w:r>
    </w:p>
    <w:p w:rsidR="00000000" w:rsidDel="00000000" w:rsidP="00000000" w:rsidRDefault="00000000" w:rsidRPr="00000000" w14:paraId="00000011">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agreed as follows:</w:t>
      </w:r>
    </w:p>
    <w:p w:rsidR="00000000" w:rsidDel="00000000" w:rsidP="00000000" w:rsidRDefault="00000000" w:rsidRPr="00000000" w14:paraId="00000012">
      <w:pPr>
        <w:spacing w:after="0" w:before="2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PROJECT: EU Support to REDI Phase II </w:t>
      </w:r>
    </w:p>
    <w:p w:rsidR="00000000" w:rsidDel="00000000" w:rsidP="00000000" w:rsidRDefault="00000000" w:rsidRPr="00000000" w14:paraId="00000013">
      <w:pPr>
        <w:spacing w:after="0" w:before="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CONTRACT TITLE: Supply of Consumables and office materials for the Implementation of the Project – EU Support to REDI Phase II: Advancing Roma Entrepreneurs in the Western Balkans and Türkiye</w:t>
      </w:r>
    </w:p>
    <w:p w:rsidR="00000000" w:rsidDel="00000000" w:rsidP="00000000" w:rsidRDefault="00000000" w:rsidRPr="00000000" w14:paraId="00000014">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Identification number: IPA III/2024/457-197/TK-007</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after="120" w:before="240" w:lineRule="auto"/>
        <w:ind w:left="567" w:hanging="567"/>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(1)</w:t>
        <w:tab/>
        <w:t xml:space="preserve">Subject</w:t>
      </w:r>
    </w:p>
    <w:p w:rsidR="00000000" w:rsidDel="00000000" w:rsidP="00000000" w:rsidRDefault="00000000" w:rsidRPr="00000000" w14:paraId="00000016">
      <w:pPr>
        <w:spacing w:after="12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tab/>
        <w:t xml:space="preserve">The subject of this contract is Marketing and Communication Services for REDI Türkiye with identification number IPA III/2024/457-197/TK-007 (‘the services’).</w:t>
      </w:r>
    </w:p>
    <w:p w:rsidR="00000000" w:rsidDel="00000000" w:rsidP="00000000" w:rsidRDefault="00000000" w:rsidRPr="00000000" w14:paraId="00000017">
      <w:pPr>
        <w:spacing w:after="120" w:lineRule="auto"/>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after="120" w:before="240" w:lineRule="auto"/>
        <w:ind w:left="567" w:hanging="567"/>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(2)</w:t>
        <w:tab/>
        <w:t xml:space="preserve">Contract value</w:t>
      </w:r>
    </w:p>
    <w:p w:rsidR="00000000" w:rsidDel="00000000" w:rsidP="00000000" w:rsidRDefault="00000000" w:rsidRPr="00000000" w14:paraId="00000019">
      <w:pPr>
        <w:spacing w:after="12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contract, established in TRY, is a global price contract. The contract value is 3.048,00 EUR </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after="120" w:before="240" w:lineRule="auto"/>
        <w:ind w:left="567" w:hanging="567"/>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(3)</w:t>
        <w:tab/>
        <w:t xml:space="preserve">Order of precedence of contract documents</w:t>
      </w:r>
    </w:p>
    <w:p w:rsidR="00000000" w:rsidDel="00000000" w:rsidP="00000000" w:rsidRDefault="00000000" w:rsidRPr="00000000" w14:paraId="0000001B">
      <w:pPr>
        <w:spacing w:after="12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1C">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agreement;</w:t>
      </w:r>
    </w:p>
    <w:p w:rsidR="00000000" w:rsidDel="00000000" w:rsidP="00000000" w:rsidRDefault="00000000" w:rsidRPr="00000000" w14:paraId="0000001D">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special conditions</w:t>
      </w:r>
    </w:p>
    <w:p w:rsidR="00000000" w:rsidDel="00000000" w:rsidP="00000000" w:rsidRDefault="00000000" w:rsidRPr="00000000" w14:paraId="0000001E">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general conditions (Annex I);</w:t>
      </w:r>
    </w:p>
    <w:p w:rsidR="00000000" w:rsidDel="00000000" w:rsidP="00000000" w:rsidRDefault="00000000" w:rsidRPr="00000000" w14:paraId="0000001F">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0">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organization and methodology [including clarification from the tenderer provided during tender evaluation] (Annex III);</w:t>
      </w:r>
    </w:p>
    <w:p w:rsidR="00000000" w:rsidDel="00000000" w:rsidP="00000000" w:rsidRDefault="00000000" w:rsidRPr="00000000" w14:paraId="00000021">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(Annex IV);</w:t>
      </w:r>
    </w:p>
    <w:p w:rsidR="00000000" w:rsidDel="00000000" w:rsidP="00000000" w:rsidRDefault="00000000" w:rsidRPr="00000000" w14:paraId="00000022">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Budget (Annex V);</w:t>
      </w:r>
    </w:p>
    <w:p w:rsidR="00000000" w:rsidDel="00000000" w:rsidP="00000000" w:rsidRDefault="00000000" w:rsidRPr="00000000" w14:paraId="00000023">
      <w:pPr>
        <w:numPr>
          <w:ilvl w:val="0"/>
          <w:numId w:val="1"/>
        </w:numPr>
        <w:tabs>
          <w:tab w:val="left" w:leader="none" w:pos="993"/>
        </w:tabs>
        <w:spacing w:after="6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relevant forms and documents (Annex VI);</w:t>
      </w:r>
    </w:p>
    <w:p w:rsidR="00000000" w:rsidDel="00000000" w:rsidP="00000000" w:rsidRDefault="00000000" w:rsidRPr="00000000" w14:paraId="00000024">
      <w:pPr>
        <w:spacing w:after="120" w:lineRule="auto"/>
        <w:ind w:left="56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pacing w:after="120" w:before="240" w:lineRule="auto"/>
        <w:ind w:left="567" w:hanging="567"/>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(4)</w:t>
        <w:tab/>
        <w:t xml:space="preserve">Language of the contract</w:t>
      </w:r>
    </w:p>
    <w:p w:rsidR="00000000" w:rsidDel="00000000" w:rsidP="00000000" w:rsidRDefault="00000000" w:rsidRPr="00000000" w14:paraId="00000026">
      <w:pPr>
        <w:spacing w:after="12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after="120" w:before="240" w:lineRule="auto"/>
        <w:ind w:left="567" w:hanging="567"/>
        <w:rPr>
          <w:rFonts w:ascii="Times New Roman" w:cs="Times New Roman" w:eastAsia="Times New Roman" w:hAnsi="Times New Roman"/>
          <w:b w:val="1"/>
          <w:color w:val="000000"/>
          <w:sz w:val="22"/>
          <w:szCs w:val="22"/>
        </w:rPr>
      </w:pPr>
      <w:bookmarkStart w:colFirst="0" w:colLast="0" w:name="_heading=h.v63h7g2m56a8" w:id="0"/>
      <w:bookmarkEnd w:id="0"/>
      <w:r w:rsidDel="00000000" w:rsidR="00000000" w:rsidRPr="00000000">
        <w:rPr>
          <w:rFonts w:ascii="Times New Roman" w:cs="Times New Roman" w:eastAsia="Times New Roman" w:hAnsi="Times New Roman"/>
          <w:b w:val="1"/>
          <w:color w:val="000000"/>
          <w:sz w:val="22"/>
          <w:szCs w:val="22"/>
          <w:rtl w:val="0"/>
        </w:rPr>
        <w:t xml:space="preserve">(5)</w:t>
        <w:tab/>
        <w:t xml:space="preserve">Other specific conditions applying to the contract</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after="120" w:lineRule="auto"/>
        <w:ind w:left="709" w:hanging="709"/>
        <w:rPr>
          <w:rFonts w:ascii="Times New Roman" w:cs="Times New Roman" w:eastAsia="Times New Roman" w:hAnsi="Times New Roman"/>
          <w:color w:val="000000"/>
          <w:sz w:val="22"/>
          <w:szCs w:val="22"/>
          <w:highlight w:val="lightGray"/>
        </w:rPr>
      </w:pPr>
      <w:r w:rsidDel="00000000" w:rsidR="00000000" w:rsidRPr="00000000">
        <w:rPr>
          <w:rtl w:val="0"/>
        </w:rPr>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after="120" w:lineRule="auto"/>
        <w:ind w:left="709" w:hanging="709"/>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following conditions to the contract shall apply:</w:t>
      </w:r>
    </w:p>
    <w:p w:rsidR="00000000" w:rsidDel="00000000" w:rsidP="00000000" w:rsidRDefault="00000000" w:rsidRPr="00000000" w14:paraId="0000002A">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For the purpose of</w:t>
      </w:r>
      <w:r w:rsidDel="00000000" w:rsidR="00000000" w:rsidRPr="00000000">
        <w:rPr>
          <w:rFonts w:ascii="Times New Roman" w:cs="Times New Roman" w:eastAsia="Times New Roman" w:hAnsi="Times New Roman"/>
          <w:color w:val="0000ff"/>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2B">
      <w:pPr>
        <w:spacing w:before="120" w:lineRule="auto"/>
        <w:ind w:left="42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2C">
      <w:pPr>
        <w:spacing w:after="280" w:before="280" w:lineRule="auto"/>
        <w:ind w:left="426" w:firstLine="0"/>
        <w:jc w:val="left"/>
        <w:rPr>
          <w:rFonts w:ascii="Times New Roman" w:cs="Times New Roman" w:eastAsia="Times New Roman" w:hAnsi="Times New Roman"/>
          <w:color w:val="0563c1"/>
          <w:sz w:val="22"/>
          <w:szCs w:val="22"/>
          <w:u w:val="single"/>
        </w:rPr>
      </w:pPr>
      <w:r w:rsidDel="00000000" w:rsidR="00000000" w:rsidRPr="00000000">
        <w:rPr>
          <w:rFonts w:ascii="Times New Roman" w:cs="Times New Roman" w:eastAsia="Times New Roman" w:hAnsi="Times New Roman"/>
          <w:sz w:val="22"/>
          <w:szCs w:val="22"/>
          <w:rtl w:val="0"/>
        </w:rPr>
        <w:t xml:space="preserve">(b) the data protection notice is available at </w:t>
      </w:r>
      <w:hyperlink r:id="rId8">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2D">
      <w:pPr>
        <w:keepNext w:val="1"/>
        <w:keepLines w:val="1"/>
        <w:tabs>
          <w:tab w:val="left" w:leader="none" w:pos="0"/>
        </w:tabs>
        <w:spacing w:after="120" w:before="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Done in English in three originals:</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one original for the contracting authority, one original for the European Commission, and one original for the contractor.</w:t>
      </w: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SPECIAL CONDITIONS</w:t>
      </w:r>
    </w:p>
    <w:p w:rsidR="00000000" w:rsidDel="00000000" w:rsidP="00000000" w:rsidRDefault="00000000" w:rsidRPr="00000000" w14:paraId="00000030">
      <w:pPr>
        <w:rPr>
          <w:rFonts w:ascii="Times New Roman" w:cs="Times New Roman" w:eastAsia="Times New Roman" w:hAnsi="Times New Roman"/>
          <w:b w:val="1"/>
          <w:sz w:val="22"/>
          <w:szCs w:val="22"/>
          <w:highlight w:val="yellow"/>
        </w:rPr>
      </w:pPr>
      <w:r w:rsidDel="00000000" w:rsidR="00000000" w:rsidRPr="00000000">
        <w:rPr>
          <w:rFonts w:ascii="Times New Roman" w:cs="Times New Roman" w:eastAsia="Times New Roman" w:hAnsi="Times New Roman"/>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r w:rsidDel="00000000" w:rsidR="00000000" w:rsidRPr="00000000">
        <w:rPr>
          <w:rtl w:val="0"/>
        </w:rPr>
      </w:r>
    </w:p>
    <w:p w:rsidR="00000000" w:rsidDel="00000000" w:rsidP="00000000" w:rsidRDefault="00000000" w:rsidRPr="00000000" w14:paraId="00000031">
      <w:pPr>
        <w:spacing w:after="120" w:before="24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2</w:t>
        <w:tab/>
        <w:t xml:space="preserve">Communications</w:t>
      </w:r>
    </w:p>
    <w:p w:rsidR="00000000" w:rsidDel="00000000" w:rsidP="00000000" w:rsidRDefault="00000000" w:rsidRPr="00000000" w14:paraId="00000032">
      <w:pPr>
        <w:widowControl w:val="0"/>
        <w:spacing w:after="100" w:before="10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2.1</w:t>
        <w:tab/>
        <w:tab/>
        <w:t xml:space="preserve">Contractor: </w:t>
      </w:r>
      <w:r w:rsidDel="00000000" w:rsidR="00000000" w:rsidRPr="00000000">
        <w:rPr>
          <w:rFonts w:ascii="Times New Roman" w:cs="Times New Roman" w:eastAsia="Times New Roman" w:hAnsi="Times New Roman"/>
          <w:sz w:val="22"/>
          <w:szCs w:val="22"/>
          <w:highlight w:val="white"/>
          <w:rtl w:val="0"/>
        </w:rPr>
        <w:t xml:space="preserve">REDI Turkiye  (ROMAN GİRİŞİMCİLİĞİNİ GELİŞTİRME İNİSİYATİFİ DERNEĞİ)</w:t>
      </w:r>
    </w:p>
    <w:p w:rsidR="00000000" w:rsidDel="00000000" w:rsidP="00000000" w:rsidRDefault="00000000" w:rsidRPr="00000000" w14:paraId="00000033">
      <w:pPr>
        <w:widowControl w:val="0"/>
        <w:spacing w:after="100" w:before="100" w:lineRule="auto"/>
        <w:jc w:val="both"/>
        <w:rPr>
          <w:rFonts w:ascii="Times New Roman" w:cs="Times New Roman" w:eastAsia="Times New Roman" w:hAnsi="Times New Roman"/>
          <w:sz w:val="22"/>
          <w:szCs w:val="22"/>
          <w:highlight w:val="white"/>
        </w:rPr>
      </w:pPr>
      <w:bookmarkStart w:colFirst="0" w:colLast="0" w:name="_heading=h.kgedxw894kz2" w:id="1"/>
      <w:bookmarkEnd w:id="1"/>
      <w:r w:rsidDel="00000000" w:rsidR="00000000" w:rsidRPr="00000000">
        <w:rPr>
          <w:rFonts w:ascii="Times New Roman" w:cs="Times New Roman" w:eastAsia="Times New Roman" w:hAnsi="Times New Roman"/>
          <w:sz w:val="22"/>
          <w:szCs w:val="22"/>
          <w:rtl w:val="0"/>
        </w:rPr>
        <w:t xml:space="preserve">Bahçelievler, 1851/10. Sokak No:3, 35600 Karşıyaka, Izmir,</w:t>
      </w:r>
      <w:r w:rsidDel="00000000" w:rsidR="00000000" w:rsidRPr="00000000">
        <w:rPr>
          <w:rtl w:val="0"/>
        </w:rPr>
      </w:r>
    </w:p>
    <w:p w:rsidR="00000000" w:rsidDel="00000000" w:rsidP="00000000" w:rsidRDefault="00000000" w:rsidRPr="00000000" w14:paraId="00000034">
      <w:pPr>
        <w:keepNext w:val="1"/>
        <w:keepLines w:val="1"/>
        <w:spacing w:after="120" w:lineRule="auto"/>
        <w:ind w:left="1287" w:hanging="566"/>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keepNext w:val="1"/>
        <w:keepLines w:val="1"/>
        <w:spacing w:after="120" w:lineRule="auto"/>
        <w:ind w:left="1287" w:hanging="56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betul@redi-ngo.eu       </w:t>
      </w:r>
    </w:p>
    <w:p w:rsidR="00000000" w:rsidDel="00000000" w:rsidP="00000000" w:rsidRDefault="00000000" w:rsidRPr="00000000" w14:paraId="00000036">
      <w:pPr>
        <w:keepNext w:val="1"/>
        <w:keepLines w:val="1"/>
        <w:spacing w:after="120"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2.2 </w:t>
        <w:tab/>
        <w:t xml:space="preserve">Tenderer:</w:t>
      </w:r>
      <w:r w:rsidDel="00000000" w:rsidR="00000000" w:rsidRPr="00000000">
        <w:rPr>
          <w:rtl w:val="0"/>
        </w:rPr>
      </w:r>
    </w:p>
    <w:p w:rsidR="00000000" w:rsidDel="00000000" w:rsidP="00000000" w:rsidRDefault="00000000" w:rsidRPr="00000000" w14:paraId="00000037">
      <w:pPr>
        <w:keepNext w:val="1"/>
        <w:keepLines w:val="1"/>
        <w:spacing w:after="120" w:lineRule="auto"/>
        <w:ind w:firstLine="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Name:</w:t>
      </w:r>
    </w:p>
    <w:p w:rsidR="00000000" w:rsidDel="00000000" w:rsidP="00000000" w:rsidRDefault="00000000" w:rsidRPr="00000000" w14:paraId="00000038">
      <w:pPr>
        <w:keepNext w:val="1"/>
        <w:keepLines w:val="1"/>
        <w:spacing w:after="120" w:lineRule="auto"/>
        <w:ind w:firstLine="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Address:</w:t>
      </w:r>
    </w:p>
    <w:p w:rsidR="00000000" w:rsidDel="00000000" w:rsidP="00000000" w:rsidRDefault="00000000" w:rsidRPr="00000000" w14:paraId="00000039">
      <w:pPr>
        <w:keepNext w:val="1"/>
        <w:keepLines w:val="1"/>
        <w:spacing w:after="120" w:lineRule="auto"/>
        <w:ind w:firstLine="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address:</w:t>
      </w:r>
      <w:r w:rsidDel="00000000" w:rsidR="00000000" w:rsidRPr="00000000">
        <w:rPr>
          <w:rtl w:val="0"/>
        </w:rPr>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tabs>
          <w:tab w:val="left" w:leader="none" w:pos="1134"/>
        </w:tabs>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tabs>
          <w:tab w:val="left" w:leader="none" w:pos="1134"/>
        </w:tabs>
        <w:ind w:left="567" w:hanging="567"/>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Article 7</w:t>
        <w:tab/>
        <w:t xml:space="preserve">General obligations</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ind w:left="567" w:hanging="567"/>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7.8</w:t>
        <w:tab/>
        <w:t xml:space="preserve">All marketing content, advertising materials, and digital communication outputs must comply with the latest Communication and Visibility Requirements for EU-funded external actions, as laid down and published by the European Commission. This includes appropriate use of EU visual identity, disclaimers, and acknowledgment of EU support in all promotional activities.</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12 - Liabilities</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after="0" w:lineRule="auto"/>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12.2 </w:t>
        <w:tab/>
        <w:t xml:space="preserve">     For contracts of amount below one million EUR: in some cases capping </w:t>
      </w:r>
      <w:r w:rsidDel="00000000" w:rsidR="00000000" w:rsidRPr="00000000">
        <w:rPr>
          <w:rFonts w:ascii="Times New Roman" w:cs="Times New Roman" w:eastAsia="Times New Roman" w:hAnsi="Times New Roman"/>
          <w:sz w:val="22"/>
          <w:szCs w:val="22"/>
          <w:rtl w:val="0"/>
        </w:rPr>
        <w:t xml:space="preserve">contractors' liability</w:t>
      </w:r>
      <w:r w:rsidDel="00000000" w:rsidR="00000000" w:rsidRPr="00000000">
        <w:rPr>
          <w:rFonts w:ascii="Times New Roman" w:cs="Times New Roman" w:eastAsia="Times New Roman" w:hAnsi="Times New Roman"/>
          <w:color w:val="000000"/>
          <w:sz w:val="22"/>
          <w:szCs w:val="22"/>
          <w:rtl w:val="0"/>
        </w:rPr>
        <w:t xml:space="preserve"> to one million EUR may be disproportional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after="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By way of derogation from Article 12.2, paragraph 2, of the general conditions, compensation for damage resulting from the contractor's liability in respect of the contracting authority is capped at the amount of the contract.      </w:t>
      </w:r>
      <w:r w:rsidDel="00000000" w:rsidR="00000000" w:rsidRPr="00000000">
        <w:rPr>
          <w:rtl w:val="0"/>
        </w:rPr>
      </w:r>
    </w:p>
    <w:p w:rsidR="00000000" w:rsidDel="00000000" w:rsidP="00000000" w:rsidRDefault="00000000" w:rsidRPr="00000000" w14:paraId="00000040">
      <w:pPr>
        <w:tabs>
          <w:tab w:val="left" w:leader="none" w:pos="1134"/>
        </w:tabs>
        <w:spacing w:after="120" w:before="24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19</w:t>
        <w:tab/>
        <w:t xml:space="preserve">Implementation of the tasks and delays</w:t>
      </w:r>
    </w:p>
    <w:p w:rsidR="00000000" w:rsidDel="00000000" w:rsidP="00000000" w:rsidRDefault="00000000" w:rsidRPr="00000000" w14:paraId="00000041">
      <w:pPr>
        <w:spacing w:after="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The start date for implementation shall be 25/08/2025.     </w:t>
      </w:r>
    </w:p>
    <w:p w:rsidR="00000000" w:rsidDel="00000000" w:rsidP="00000000" w:rsidRDefault="00000000" w:rsidRPr="00000000" w14:paraId="00000042">
      <w:pPr>
        <w:spacing w:after="12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19.2</w:t>
        <w:tab/>
        <w:t xml:space="preserve">The period for implementing the tasks is until 31/08/2027.</w:t>
      </w:r>
    </w:p>
    <w:p w:rsidR="00000000" w:rsidDel="00000000" w:rsidP="00000000" w:rsidRDefault="00000000" w:rsidRPr="00000000" w14:paraId="00000043">
      <w:pPr>
        <w:keepNext w:val="1"/>
        <w:keepLines w:val="1"/>
        <w:tabs>
          <w:tab w:val="left" w:leader="none" w:pos="1134"/>
        </w:tabs>
        <w:spacing w:after="120" w:before="24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26</w:t>
        <w:tab/>
        <w:t xml:space="preserve">Interim and final reports</w:t>
      </w:r>
    </w:p>
    <w:p w:rsidR="00000000" w:rsidDel="00000000" w:rsidP="00000000" w:rsidRDefault="00000000" w:rsidRPr="00000000" w14:paraId="00000044">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submit progress reports as specified in the terms of reference.</w:t>
      </w:r>
    </w:p>
    <w:p w:rsidR="00000000" w:rsidDel="00000000" w:rsidP="00000000" w:rsidRDefault="00000000" w:rsidRPr="00000000" w14:paraId="00000045">
      <w:pPr>
        <w:keepNext w:val="1"/>
        <w:keepLines w:val="1"/>
        <w:tabs>
          <w:tab w:val="left" w:leader="none" w:pos="1134"/>
        </w:tabs>
        <w:spacing w:after="120" w:before="24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29</w:t>
        <w:tab/>
        <w:t xml:space="preserve">Payment and interest on late payment</w:t>
      </w:r>
    </w:p>
    <w:p w:rsidR="00000000" w:rsidDel="00000000" w:rsidP="00000000" w:rsidRDefault="00000000" w:rsidRPr="00000000" w14:paraId="00000046">
      <w:pPr>
        <w:keepNext w:val="1"/>
        <w:keepLines w:val="1"/>
        <w:spacing w:after="12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29.1</w:t>
        <w:tab/>
        <w:t xml:space="preserve">Payments will be made in accordance with the following option:</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tl w:val="0"/>
        </w:rPr>
      </w:r>
    </w:p>
    <w:tbl>
      <w:tblPr>
        <w:tblStyle w:val="Table1"/>
        <w:tblW w:w="8732.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134"/>
        <w:gridCol w:w="6078"/>
        <w:gridCol w:w="1520"/>
        <w:tblGridChange w:id="0">
          <w:tblGrid>
            <w:gridCol w:w="1134"/>
            <w:gridCol w:w="6078"/>
            <w:gridCol w:w="1520"/>
          </w:tblGrid>
        </w:tblGridChange>
      </w:tblGrid>
      <w:tr>
        <w:trPr>
          <w:cantSplit w:val="1"/>
          <w:trHeight w:val="3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7">
            <w:pPr>
              <w:keepNext w:val="1"/>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Month</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8">
            <w:pPr>
              <w:keepNext w:val="1"/>
              <w:spacing w:after="40" w:before="40" w:lineRule="auto"/>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9">
            <w:pPr>
              <w:keepNext w:val="1"/>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r>
      <w:tr>
        <w:trPr>
          <w:cantSplit w:val="1"/>
          <w:trHeight w:val="89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A">
            <w:pPr>
              <w:keepNext w:val="1"/>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B">
            <w:pPr>
              <w:keepNext w:val="1"/>
              <w:spacing w:after="40" w:before="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Maximum pre-financing payment per lot</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C">
            <w:pPr>
              <w:keepNext w:val="1"/>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&lt;0&gt;</w:t>
            </w:r>
          </w:p>
        </w:tc>
      </w:tr>
      <w:tr>
        <w:trPr>
          <w:cantSplit w:val="1"/>
          <w:trHeight w:val="1082" w:hRule="atLeast"/>
          <w:tblHeader w:val="0"/>
        </w:trPr>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4D">
            <w:pPr>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w:t>
            </w:r>
          </w:p>
        </w:tc>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Quarterly</w:t>
            </w:r>
            <w:r w:rsidDel="00000000" w:rsidR="00000000" w:rsidRPr="00000000">
              <w:rPr>
                <w:rFonts w:ascii="Times New Roman" w:cs="Times New Roman" w:eastAsia="Times New Roman" w:hAnsi="Times New Roman"/>
                <w:color w:val="000000"/>
                <w:sz w:val="22"/>
                <w:szCs w:val="22"/>
                <w:rtl w:val="0"/>
              </w:rPr>
              <w:t xml:space="preserve"> interim payments upon submission an invoice and approval of monthly performance reports</w:t>
            </w:r>
            <w:r w:rsidDel="00000000" w:rsidR="00000000" w:rsidRPr="00000000">
              <w:rPr>
                <w:rtl w:val="0"/>
              </w:rPr>
            </w:r>
          </w:p>
          <w:p w:rsidR="00000000" w:rsidDel="00000000" w:rsidP="00000000" w:rsidRDefault="00000000" w:rsidRPr="00000000" w14:paraId="0000004F">
            <w:pPr>
              <w:spacing w:after="0" w:lineRule="auto"/>
              <w:ind w:left="0" w:firstLine="0"/>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50">
            <w:pPr>
              <w:spacing w:after="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spacing w:after="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agreed</w:t>
            </w:r>
          </w:p>
        </w:tc>
      </w:tr>
      <w:tr>
        <w:trPr>
          <w:cantSplit w:val="1"/>
          <w:trHeight w:val="690" w:hRule="atLeast"/>
          <w:tblHeader w:val="0"/>
        </w:trPr>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52">
            <w:pPr>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w:t>
            </w:r>
          </w:p>
        </w:tc>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53">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color w:val="000000"/>
                <w:sz w:val="22"/>
                <w:szCs w:val="22"/>
                <w:rtl w:val="0"/>
              </w:rPr>
              <w:t xml:space="preserve">Final balance payment, after acceptance of the last report and completion of services</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54">
            <w:pPr>
              <w:spacing w:after="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agreed</w:t>
            </w:r>
          </w:p>
        </w:tc>
      </w:tr>
      <w:tr>
        <w:trPr>
          <w:cantSplit w:val="1"/>
          <w:trHeight w:val="816" w:hRule="atLeast"/>
          <w:tblHeader w:val="0"/>
        </w:trPr>
        <w:tc>
          <w:tcPr>
            <w:tcBorders>
              <w:top w:color="000000" w:space="0" w:sz="4" w:val="dotted"/>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55">
            <w:pPr>
              <w:spacing w:after="40" w:before="40" w:lineRule="auto"/>
              <w:jc w:val="center"/>
              <w:rPr>
                <w:rFonts w:ascii="Times New Roman" w:cs="Times New Roman" w:eastAsia="Times New Roman" w:hAnsi="Times New Roman"/>
                <w:b w:val="1"/>
                <w:sz w:val="22"/>
                <w:szCs w:val="22"/>
              </w:rPr>
            </w:pPr>
            <w:r w:rsidDel="00000000" w:rsidR="00000000" w:rsidRPr="00000000">
              <w:rPr>
                <w:rtl w:val="0"/>
              </w:rPr>
            </w:r>
          </w:p>
        </w:tc>
        <w:tc>
          <w:tcPr>
            <w:tcBorders>
              <w:top w:color="000000" w:space="0" w:sz="4" w:val="dotted"/>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6">
            <w:pPr>
              <w:spacing w:after="40" w:before="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Total per lot</w:t>
            </w:r>
          </w:p>
        </w:tc>
        <w:tc>
          <w:tcPr>
            <w:tcBorders>
              <w:top w:color="000000" w:space="0" w:sz="4" w:val="dotted"/>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7">
            <w:pPr>
              <w:spacing w:after="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agreed</w:t>
            </w:r>
          </w:p>
        </w:tc>
      </w:tr>
    </w:tbl>
    <w:p w:rsidR="00000000" w:rsidDel="00000000" w:rsidP="00000000" w:rsidRDefault="00000000" w:rsidRPr="00000000" w14:paraId="00000058">
      <w:pPr>
        <w:spacing w:after="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59">
      <w:pPr>
        <w:spacing w:after="12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29.5</w:t>
        <w:tab/>
        <w:t xml:space="preserve">Payments will be made in TRY in accordance with Articles 20.6 and 29.4 of the general conditions into the bank account notified by the contractor to the contracting authority.</w:t>
      </w:r>
    </w:p>
    <w:p w:rsidR="00000000" w:rsidDel="00000000" w:rsidP="00000000" w:rsidRDefault="00000000" w:rsidRPr="00000000" w14:paraId="0000005A">
      <w:pPr>
        <w:keepNext w:val="1"/>
        <w:keepLines w:val="1"/>
        <w:tabs>
          <w:tab w:val="left" w:leader="none" w:pos="1134"/>
        </w:tabs>
        <w:spacing w:after="120" w:before="24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30</w:t>
        <w:tab/>
        <w:t xml:space="preserve">Financial guarantee</w:t>
      </w:r>
    </w:p>
    <w:p w:rsidR="00000000" w:rsidDel="00000000" w:rsidP="00000000" w:rsidRDefault="00000000" w:rsidRPr="00000000" w14:paraId="0000005B">
      <w:pPr>
        <w:spacing w:after="0" w:lineRule="auto"/>
        <w:ind w:left="709" w:hanging="709"/>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30.1</w:t>
        <w:tab/>
        <w:t xml:space="preserve">For a contract amount equal to or below EUR 60 000 [By derogation from article 30 of the general conditions, no pre-financing guarantee is required.]</w:t>
      </w:r>
    </w:p>
    <w:p w:rsidR="00000000" w:rsidDel="00000000" w:rsidP="00000000" w:rsidRDefault="00000000" w:rsidRPr="00000000" w14:paraId="0000005C">
      <w:pPr>
        <w:keepNext w:val="1"/>
        <w:keepLines w:val="1"/>
        <w:tabs>
          <w:tab w:val="left" w:leader="none" w:pos="1134"/>
        </w:tabs>
        <w:spacing w:after="120" w:before="240" w:lineRule="auto"/>
        <w:ind w:left="1134" w:hanging="1134"/>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40</w:t>
        <w:tab/>
        <w:t xml:space="preserve">Settlement of disputes</w:t>
      </w:r>
    </w:p>
    <w:p w:rsidR="00000000" w:rsidDel="00000000" w:rsidP="00000000" w:rsidRDefault="00000000" w:rsidRPr="00000000" w14:paraId="0000005D">
      <w:pPr>
        <w:spacing w:after="12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40.4</w:t>
        <w:tab/>
        <w:t xml:space="preserve">Any disputes arising out of or relating to this contract which cannot be settled amicably shall be referred to the exclusive jurisdiction of</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the courts of Türkiye. </w:t>
      </w:r>
    </w:p>
    <w:p w:rsidR="00000000" w:rsidDel="00000000" w:rsidP="00000000" w:rsidRDefault="00000000" w:rsidRPr="00000000" w14:paraId="0000005E">
      <w:pPr>
        <w:spacing w:after="12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40.4</w:t>
        <w:tab/>
        <w:t xml:space="preserve">Any disputes arising out of or relating to this contract which cannot be settled otherwise shall be referred to the exclusive jurisdiction of Türkiye, applying the national legislation of the contracting authority.     </w:t>
      </w:r>
    </w:p>
    <w:p w:rsidR="00000000" w:rsidDel="00000000" w:rsidP="00000000" w:rsidRDefault="00000000" w:rsidRPr="00000000" w14:paraId="0000005F">
      <w:pPr>
        <w:keepNext w:val="1"/>
        <w:keepLines w:val="1"/>
        <w:tabs>
          <w:tab w:val="left" w:leader="none" w:pos="1134"/>
        </w:tabs>
        <w:spacing w:after="120" w:before="240" w:lineRule="auto"/>
        <w:ind w:left="1134" w:hanging="1134"/>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Article 42</w:t>
        <w:tab/>
        <w:t xml:space="preserve">Data protection</w:t>
      </w: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61">
      <w:pPr>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rFonts w:ascii="Times New Roman" w:cs="Times New Roman" w:eastAsia="Times New Roman" w:hAnsi="Times New Roman"/>
          <w:sz w:val="22"/>
          <w:szCs w:val="22"/>
          <w:highlight w:val="lightGray"/>
          <w:vertAlign w:val="superscript"/>
        </w:rPr>
        <w:footnoteReference w:customMarkFollows="0" w:id="4"/>
      </w:r>
      <w:r w:rsidDel="00000000" w:rsidR="00000000" w:rsidRPr="00000000">
        <w:rPr>
          <w:rFonts w:ascii="Times New Roman" w:cs="Times New Roman" w:eastAsia="Times New Roman" w:hAnsi="Times New Roman"/>
          <w:sz w:val="22"/>
          <w:szCs w:val="22"/>
          <w:rtl w:val="0"/>
        </w:rPr>
        <w:t xml:space="preserve"> and as detailed in the specific privacy statement published at ePRAG.</w:t>
      </w:r>
      <w:r w:rsidDel="00000000" w:rsidR="00000000" w:rsidRPr="00000000">
        <w:rPr>
          <w:rFonts w:ascii="Times New Roman" w:cs="Times New Roman" w:eastAsia="Times New Roman" w:hAnsi="Times New Roman"/>
          <w:sz w:val="22"/>
          <w:szCs w:val="22"/>
          <w:u w:val="single"/>
          <w:rtl w:val="0"/>
        </w:rPr>
        <w:t xml:space="preserve">]</w:t>
      </w:r>
    </w:p>
    <w:tbl>
      <w:tblPr>
        <w:tblStyle w:val="Table2"/>
        <w:tblW w:w="9723.0" w:type="dxa"/>
        <w:jc w:val="left"/>
        <w:tblInd w:w="-115.0" w:type="dxa"/>
        <w:tblLayout w:type="fixed"/>
        <w:tblLook w:val="0000"/>
      </w:tblPr>
      <w:tblGrid>
        <w:gridCol w:w="1599"/>
        <w:gridCol w:w="3259"/>
        <w:gridCol w:w="2540"/>
        <w:gridCol w:w="2325"/>
        <w:tblGridChange w:id="0">
          <w:tblGrid>
            <w:gridCol w:w="1599"/>
            <w:gridCol w:w="3259"/>
            <w:gridCol w:w="2540"/>
            <w:gridCol w:w="2325"/>
          </w:tblGrid>
        </w:tblGridChange>
      </w:tblGrid>
      <w:tr>
        <w:trPr>
          <w:cantSplit w:val="0"/>
          <w:tblHeader w:val="0"/>
        </w:trPr>
        <w:tc>
          <w:tcPr>
            <w:gridSpan w:val="2"/>
            <w:tcMar>
              <w:top w:w="0.0" w:type="dxa"/>
              <w:left w:w="115.0" w:type="dxa"/>
              <w:bottom w:w="0.0" w:type="dxa"/>
              <w:right w:w="115.0" w:type="dxa"/>
            </w:tcMar>
          </w:tcPr>
          <w:p w:rsidR="00000000" w:rsidDel="00000000" w:rsidP="00000000" w:rsidRDefault="00000000" w:rsidRPr="00000000" w14:paraId="00000062">
            <w:pPr>
              <w:keepNext w:val="1"/>
              <w:keepLines w:val="1"/>
              <w:pBdr>
                <w:top w:color="000000" w:space="0" w:sz="0" w:val="none"/>
                <w:left w:color="000000" w:space="0" w:sz="0" w:val="none"/>
                <w:bottom w:color="000000" w:space="0" w:sz="0" w:val="none"/>
                <w:right w:color="000000" w:space="0" w:sz="0" w:val="none"/>
                <w:between w:color="000000" w:space="0" w:sz="0" w:val="none"/>
              </w:pBdr>
              <w:spacing w:after="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For the contractor</w:t>
            </w:r>
          </w:p>
        </w:tc>
        <w:tc>
          <w:tcPr>
            <w:gridSpan w:val="2"/>
            <w:tcMar>
              <w:top w:w="0.0" w:type="dxa"/>
              <w:left w:w="115.0" w:type="dxa"/>
              <w:bottom w:w="0.0" w:type="dxa"/>
              <w:right w:w="115.0" w:type="dxa"/>
            </w:tcMar>
          </w:tcPr>
          <w:p w:rsidR="00000000" w:rsidDel="00000000" w:rsidP="00000000" w:rsidRDefault="00000000" w:rsidRPr="00000000" w14:paraId="00000064">
            <w:pPr>
              <w:keepNext w:val="1"/>
              <w:keepLines w:val="1"/>
              <w:pBdr>
                <w:top w:color="000000" w:space="0" w:sz="0" w:val="none"/>
                <w:left w:color="000000" w:space="0" w:sz="0" w:val="none"/>
                <w:bottom w:color="000000" w:space="0" w:sz="0" w:val="none"/>
                <w:right w:color="000000" w:space="0" w:sz="0" w:val="none"/>
                <w:between w:color="000000" w:space="0" w:sz="0" w:val="none"/>
              </w:pBdr>
              <w:spacing w:after="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For the contracting authority</w:t>
            </w:r>
          </w:p>
        </w:tc>
      </w:tr>
      <w:tr>
        <w:trPr>
          <w:cantSplit w:val="1"/>
          <w:tblHeader w:val="0"/>
        </w:trPr>
        <w:tc>
          <w:tcPr>
            <w:tcMar>
              <w:top w:w="0.0" w:type="dxa"/>
              <w:left w:w="115.0" w:type="dxa"/>
              <w:bottom w:w="0.0" w:type="dxa"/>
              <w:right w:w="115.0" w:type="dxa"/>
            </w:tcMar>
          </w:tcPr>
          <w:p w:rsidR="00000000" w:rsidDel="00000000" w:rsidP="00000000" w:rsidRDefault="00000000" w:rsidRPr="00000000" w14:paraId="00000066">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Name:</w:t>
            </w:r>
          </w:p>
        </w:tc>
        <w:tc>
          <w:tcPr>
            <w:tcMar>
              <w:top w:w="0.0" w:type="dxa"/>
              <w:left w:w="115.0" w:type="dxa"/>
              <w:bottom w:w="0.0" w:type="dxa"/>
              <w:right w:w="115.0" w:type="dxa"/>
            </w:tcMar>
          </w:tcPr>
          <w:p w:rsidR="00000000" w:rsidDel="00000000" w:rsidP="00000000" w:rsidRDefault="00000000" w:rsidRPr="00000000" w14:paraId="00000067">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068">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ind w:right="-33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Name: Serkan Baysak</w:t>
            </w:r>
          </w:p>
        </w:tc>
      </w:tr>
      <w:tr>
        <w:trPr>
          <w:cantSplit w:val="1"/>
          <w:tblHeader w:val="0"/>
        </w:trPr>
        <w:tc>
          <w:tcPr>
            <w:tcMar>
              <w:top w:w="0.0" w:type="dxa"/>
              <w:left w:w="115.0" w:type="dxa"/>
              <w:bottom w:w="0.0" w:type="dxa"/>
              <w:right w:w="115.0" w:type="dxa"/>
            </w:tcMar>
          </w:tcPr>
          <w:p w:rsidR="00000000" w:rsidDel="00000000" w:rsidP="00000000" w:rsidRDefault="00000000" w:rsidRPr="00000000" w14:paraId="00000069">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w:t>
            </w:r>
          </w:p>
        </w:tc>
        <w:tc>
          <w:tcPr>
            <w:tcMar>
              <w:top w:w="0.0" w:type="dxa"/>
              <w:left w:w="115.0" w:type="dxa"/>
              <w:bottom w:w="0.0" w:type="dxa"/>
              <w:right w:w="115.0" w:type="dxa"/>
            </w:tcMar>
          </w:tcPr>
          <w:p w:rsidR="00000000" w:rsidDel="00000000" w:rsidP="00000000" w:rsidRDefault="00000000" w:rsidRPr="00000000" w14:paraId="0000006A">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06B">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 President</w:t>
            </w:r>
          </w:p>
        </w:tc>
      </w:tr>
      <w:tr>
        <w:trPr>
          <w:cantSplit w:val="1"/>
          <w:tblHeader w:val="0"/>
        </w:trPr>
        <w:tc>
          <w:tcPr>
            <w:tcMar>
              <w:top w:w="0.0" w:type="dxa"/>
              <w:left w:w="115.0" w:type="dxa"/>
              <w:bottom w:w="0.0" w:type="dxa"/>
              <w:right w:w="115.0" w:type="dxa"/>
            </w:tcMar>
          </w:tcPr>
          <w:p w:rsidR="00000000" w:rsidDel="00000000" w:rsidP="00000000" w:rsidRDefault="00000000" w:rsidRPr="00000000" w14:paraId="0000006C">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Signature:</w:t>
            </w:r>
          </w:p>
        </w:tc>
        <w:tc>
          <w:tcPr>
            <w:tcMar>
              <w:top w:w="0.0" w:type="dxa"/>
              <w:left w:w="115.0" w:type="dxa"/>
              <w:bottom w:w="0.0" w:type="dxa"/>
              <w:right w:w="115.0" w:type="dxa"/>
            </w:tcMar>
          </w:tcPr>
          <w:p w:rsidR="00000000" w:rsidDel="00000000" w:rsidP="00000000" w:rsidRDefault="00000000" w:rsidRPr="00000000" w14:paraId="0000006D">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06E">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Signature:</w:t>
            </w:r>
          </w:p>
        </w:tc>
      </w:tr>
      <w:tr>
        <w:trPr>
          <w:cantSplit w:val="1"/>
          <w:tblHeader w:val="0"/>
        </w:trPr>
        <w:tc>
          <w:tcPr>
            <w:tcMar>
              <w:top w:w="0.0" w:type="dxa"/>
              <w:left w:w="115.0" w:type="dxa"/>
              <w:bottom w:w="0.0" w:type="dxa"/>
              <w:right w:w="115.0" w:type="dxa"/>
            </w:tcMar>
          </w:tcPr>
          <w:p w:rsidR="00000000" w:rsidDel="00000000" w:rsidP="00000000" w:rsidRDefault="00000000" w:rsidRPr="00000000" w14:paraId="0000006F">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Date:</w:t>
            </w:r>
          </w:p>
        </w:tc>
        <w:tc>
          <w:tcPr>
            <w:tcMar>
              <w:top w:w="0.0" w:type="dxa"/>
              <w:left w:w="115.0" w:type="dxa"/>
              <w:bottom w:w="0.0" w:type="dxa"/>
              <w:right w:w="115.0" w:type="dxa"/>
            </w:tcMar>
          </w:tcPr>
          <w:p w:rsidR="00000000" w:rsidDel="00000000" w:rsidP="00000000" w:rsidRDefault="00000000" w:rsidRPr="00000000" w14:paraId="00000070">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071">
            <w:pPr>
              <w:keepNext w:val="1"/>
              <w:keepLines w:val="1"/>
              <w:pBdr>
                <w:top w:color="000000" w:space="0" w:sz="0" w:val="none"/>
                <w:left w:color="000000" w:space="0" w:sz="0" w:val="none"/>
                <w:bottom w:color="000000" w:space="0" w:sz="0" w:val="none"/>
                <w:right w:color="000000" w:space="0" w:sz="0" w:val="none"/>
                <w:between w:color="000000" w:space="0" w:sz="0" w:val="none"/>
              </w:pBdr>
              <w:spacing w:after="160" w:before="1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Date:</w:t>
            </w:r>
          </w:p>
        </w:tc>
      </w:tr>
    </w:tbl>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spacing w:after="0" w:lineRule="auto"/>
        <w:rPr>
          <w:rFonts w:ascii="Times New Roman" w:cs="Times New Roman" w:eastAsia="Times New Roman" w:hAnsi="Times New Roman"/>
          <w:color w:val="000000"/>
          <w:sz w:val="22"/>
          <w:szCs w:val="22"/>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13" w:orient="portrait"/>
      <w:pgMar w:bottom="1276" w:top="1134" w:left="1134"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tabs>
        <w:tab w:val="center" w:leader="none" w:pos="4153"/>
        <w:tab w:val="right" w:leader="none"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zh_CN"/>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8">
    <w:name w:val="heading 7"/>
    <w:basedOn w:val="1"/>
    <w:next w:val="1"/>
    <w:uiPriority w:val="0"/>
    <w:qFormat w:val="1"/>
    <w:pPr>
      <w:tabs>
        <w:tab w:val="left" w:pos="0"/>
      </w:tabs>
      <w:spacing w:after="60" w:before="240"/>
      <w:outlineLvl w:val="6"/>
    </w:pPr>
    <w:rPr>
      <w:rFonts w:ascii="Arial" w:hAnsi="Arial"/>
      <w:sz w:val="20"/>
    </w:rPr>
  </w:style>
  <w:style w:type="paragraph" w:styleId="9">
    <w:name w:val="heading 8"/>
    <w:basedOn w:val="1"/>
    <w:next w:val="1"/>
    <w:uiPriority w:val="0"/>
    <w:qFormat w:val="1"/>
    <w:pPr>
      <w:tabs>
        <w:tab w:val="left" w:pos="0"/>
      </w:tabs>
      <w:spacing w:after="60" w:before="240"/>
      <w:outlineLvl w:val="7"/>
    </w:pPr>
    <w:rPr>
      <w:rFonts w:ascii="Arial" w:hAnsi="Arial"/>
      <w:i w:val="1"/>
      <w:sz w:val="20"/>
    </w:rPr>
  </w:style>
  <w:style w:type="paragraph" w:styleId="10">
    <w:name w:val="heading 9"/>
    <w:basedOn w:val="1"/>
    <w:next w:val="1"/>
    <w:uiPriority w:val="0"/>
    <w:qFormat w:val="1"/>
    <w:pPr>
      <w:tabs>
        <w:tab w:val="left" w:pos="0"/>
      </w:tabs>
      <w:spacing w:after="60" w:before="240"/>
      <w:outlineLvl w:val="8"/>
    </w:pPr>
    <w:rPr>
      <w:rFonts w:ascii="Arial" w:hAnsi="Arial"/>
      <w:i w:val="1"/>
      <w:sz w:val="18"/>
    </w:rPr>
  </w:style>
  <w:style w:type="character" w:styleId="11" w:default="1">
    <w:name w:val="Default Paragraph Font"/>
    <w:uiPriority w:val="1"/>
    <w:semiHidden w:val="1"/>
    <w:unhideWhenUsed w:val="1"/>
  </w:style>
  <w:style w:type="table" w:styleId="12" w:default="1">
    <w:name w:val="Normal Table"/>
    <w:uiPriority w:val="99"/>
    <w:semiHidden w:val="1"/>
    <w:unhideWhenUsed w:val="1"/>
    <w:tblPr>
      <w:tblCellMar>
        <w:top w:w="0.0" w:type="dxa"/>
        <w:left w:w="108.0" w:type="dxa"/>
        <w:bottom w:w="0.0" w:type="dxa"/>
        <w:right w:w="108.0" w:type="dxa"/>
      </w:tblCellMar>
    </w:tblPr>
  </w:style>
  <w:style w:type="paragraph" w:styleId="13">
    <w:name w:val="Balloon Text"/>
    <w:basedOn w:val="1"/>
    <w:uiPriority w:val="0"/>
    <w:semiHidden w:val="1"/>
    <w:rPr>
      <w:rFonts w:ascii="Tahoma" w:hAnsi="Tahoma"/>
      <w:sz w:val="16"/>
      <w:szCs w:val="16"/>
    </w:rPr>
  </w:style>
  <w:style w:type="paragraph" w:styleId="14">
    <w:name w:val="Block Text"/>
    <w:basedOn w:val="1"/>
    <w:uiPriority w:val="0"/>
    <w:pPr>
      <w:spacing w:after="120"/>
      <w:ind w:left="1440" w:right="144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rPr>
  </w:style>
  <w:style w:type="paragraph" w:styleId="18">
    <w:name w:val="Body Text First Indent"/>
    <w:basedOn w:val="15"/>
    <w:uiPriority w:val="0"/>
    <w:pPr>
      <w:ind w:firstLine="210"/>
    </w:pPr>
  </w:style>
  <w:style w:type="paragraph" w:styleId="19">
    <w:name w:val="Body Text Indent"/>
    <w:basedOn w:val="1"/>
    <w:uiPriority w:val="0"/>
    <w:pPr>
      <w:spacing w:after="120"/>
      <w:ind w:left="283"/>
    </w:pPr>
  </w:style>
  <w:style w:type="paragraph" w:styleId="20">
    <w:name w:val="Body Text First Indent 2"/>
    <w:basedOn w:val="19"/>
    <w:uiPriority w:val="0"/>
    <w:pPr>
      <w:ind w:firstLine="210"/>
    </w:pPr>
  </w:style>
  <w:style w:type="paragraph" w:styleId="21">
    <w:name w:val="Body Text Indent 2"/>
    <w:basedOn w:val="1"/>
    <w:uiPriority w:val="0"/>
    <w:pPr>
      <w:spacing w:after="120" w:line="480" w:lineRule="auto"/>
      <w:ind w:left="283"/>
    </w:pPr>
  </w:style>
  <w:style w:type="paragraph" w:styleId="22">
    <w:name w:val="Body Text Indent 3"/>
    <w:basedOn w:val="1"/>
    <w:uiPriority w:val="0"/>
    <w:pPr>
      <w:spacing w:after="120"/>
      <w:ind w:left="283"/>
    </w:pPr>
    <w:rPr>
      <w:sz w:val="16"/>
    </w:rPr>
  </w:style>
  <w:style w:type="paragraph" w:styleId="23">
    <w:name w:val="caption"/>
    <w:basedOn w:val="1"/>
    <w:next w:val="1"/>
    <w:uiPriority w:val="0"/>
    <w:qFormat w:val="1"/>
    <w:pPr>
      <w:spacing w:after="120" w:before="120"/>
    </w:pPr>
    <w:rPr>
      <w:b w:val="1"/>
    </w:rPr>
  </w:style>
  <w:style w:type="paragraph" w:styleId="24">
    <w:name w:val="Closing"/>
    <w:basedOn w:val="1"/>
    <w:uiPriority w:val="0"/>
    <w:pPr>
      <w:ind w:left="4252"/>
    </w:pPr>
  </w:style>
  <w:style w:type="character" w:styleId="25">
    <w:name w:val="annotation reference"/>
    <w:uiPriority w:val="0"/>
    <w:semiHidden w:val="1"/>
    <w:rPr>
      <w:sz w:val="16"/>
      <w:szCs w:val="16"/>
    </w:rPr>
  </w:style>
  <w:style w:type="paragraph" w:styleId="26">
    <w:name w:val="annotation text"/>
    <w:basedOn w:val="1"/>
    <w:link w:val="149"/>
    <w:uiPriority w:val="99"/>
    <w:semiHidden w:val="1"/>
    <w:rPr>
      <w:sz w:val="20"/>
    </w:rPr>
  </w:style>
  <w:style w:type="paragraph" w:styleId="27">
    <w:name w:val="annotation subject"/>
    <w:basedOn w:val="26"/>
    <w:next w:val="26"/>
    <w:uiPriority w:val="0"/>
    <w:semiHidden w:val="1"/>
    <w:rPr>
      <w:b w:val="1"/>
      <w:bCs w:val="1"/>
    </w:rPr>
  </w:style>
  <w:style w:type="paragraph" w:styleId="28">
    <w:name w:val="Date"/>
    <w:basedOn w:val="1"/>
    <w:next w:val="29"/>
    <w:uiPriority w:val="0"/>
    <w:pPr>
      <w:spacing w:after="0"/>
      <w:ind w:left="5103" w:right="-567"/>
      <w:jc w:val="left"/>
    </w:pPr>
  </w:style>
  <w:style w:type="paragraph" w:styleId="29" w:customStyle="1">
    <w:name w:val="References"/>
    <w:basedOn w:val="1"/>
    <w:next w:val="30"/>
    <w:uiPriority w:val="0"/>
    <w:pPr>
      <w:ind w:left="5103"/>
      <w:jc w:val="left"/>
    </w:pPr>
    <w:rPr>
      <w:sz w:val="20"/>
    </w:rPr>
  </w:style>
  <w:style w:type="paragraph" w:styleId="30" w:customStyle="1">
    <w:name w:val="AddressTR"/>
    <w:basedOn w:val="1"/>
    <w:next w:val="1"/>
    <w:uiPriority w:val="0"/>
    <w:pPr>
      <w:spacing w:after="720"/>
      <w:ind w:left="5103"/>
      <w:jc w:val="left"/>
    </w:pPr>
  </w:style>
  <w:style w:type="paragraph" w:styleId="31">
    <w:name w:val="Document Map"/>
    <w:basedOn w:val="1"/>
    <w:uiPriority w:val="0"/>
    <w:semiHidden w:val="1"/>
    <w:pPr>
      <w:shd w:color="auto" w:fill="000080" w:val="clear"/>
    </w:pPr>
    <w:rPr>
      <w:rFonts w:ascii="Tahoma" w:hAnsi="Tahoma"/>
    </w:rPr>
  </w:style>
  <w:style w:type="character" w:styleId="32">
    <w:name w:val="Emphasis"/>
    <w:uiPriority w:val="0"/>
    <w:qFormat w:val="1"/>
    <w:rPr>
      <w:i w:val="1"/>
    </w:rPr>
  </w:style>
  <w:style w:type="paragraph" w:styleId="33">
    <w:name w:val="endnote text"/>
    <w:basedOn w:val="1"/>
    <w:uiPriority w:val="0"/>
    <w:semiHidden w:val="1"/>
    <w:rPr>
      <w:sz w:val="20"/>
    </w:rPr>
  </w:style>
  <w:style w:type="paragraph" w:styleId="34">
    <w:name w:val="envelope address"/>
    <w:basedOn w:val="1"/>
    <w:uiPriority w:val="0"/>
    <w:pPr>
      <w:framePr w:lines="0" w:w="7920" w:h="1980" w:hSpace="180" w:wrap="auto" w:hAnchor="page" w:vAnchor="margin" w:xAlign="center" w:yAlign="bottom" w:hRule="exact"/>
      <w:spacing w:after="0"/>
    </w:pPr>
  </w:style>
  <w:style w:type="paragraph" w:styleId="35">
    <w:name w:val="envelope return"/>
    <w:basedOn w:val="1"/>
    <w:uiPriority w:val="0"/>
    <w:pPr>
      <w:spacing w:after="0"/>
    </w:pPr>
    <w:rPr>
      <w:sz w:val="20"/>
    </w:rPr>
  </w:style>
  <w:style w:type="character" w:styleId="36">
    <w:name w:val="FollowedHyperlink"/>
    <w:uiPriority w:val="0"/>
    <w:rPr>
      <w:color w:val="606420"/>
      <w:u w:val="single"/>
    </w:rPr>
  </w:style>
  <w:style w:type="paragraph" w:styleId="37">
    <w:name w:val="footer"/>
    <w:basedOn w:val="1"/>
    <w:uiPriority w:val="0"/>
    <w:pPr>
      <w:spacing w:after="0"/>
      <w:ind w:right="-567"/>
      <w:jc w:val="left"/>
    </w:pPr>
    <w:rPr>
      <w:rFonts w:ascii="Arial" w:hAnsi="Arial"/>
      <w:sz w:val="16"/>
    </w:rPr>
  </w:style>
  <w:style w:type="character" w:styleId="38">
    <w:name w:val="footnote reference"/>
    <w:link w:val="39"/>
    <w:uiPriority w:val="0"/>
    <w:qFormat w:val="1"/>
    <w:rPr>
      <w:rFonts w:ascii="TimesNewRomanPS" w:hAnsi="TimesNewRomanPS"/>
      <w:position w:val="6"/>
      <w:sz w:val="16"/>
    </w:rPr>
  </w:style>
  <w:style w:type="paragraph" w:styleId="39" w:customStyle="1">
    <w:name w:val="Char2"/>
    <w:basedOn w:val="1"/>
    <w:link w:val="38"/>
    <w:uiPriority w:val="0"/>
    <w:pPr>
      <w:spacing w:after="160" w:line="240" w:lineRule="exact"/>
      <w:jc w:val="left"/>
    </w:pPr>
    <w:rPr>
      <w:rFonts w:ascii="TimesNewRomanPS" w:hAnsi="TimesNewRomanPS"/>
      <w:position w:val="6"/>
      <w:sz w:val="16"/>
    </w:rPr>
  </w:style>
  <w:style w:type="paragraph" w:styleId="40">
    <w:name w:val="footnote text"/>
    <w:basedOn w:val="1"/>
    <w:link w:val="151"/>
    <w:autoRedefine w:val="1"/>
    <w:uiPriority w:val="0"/>
    <w:qFormat w:val="1"/>
    <w:pPr>
      <w:spacing w:after="60"/>
    </w:pPr>
    <w:rPr>
      <w:sz w:val="20"/>
    </w:rPr>
  </w:style>
  <w:style w:type="paragraph" w:styleId="41">
    <w:name w:val="header"/>
    <w:basedOn w:val="1"/>
    <w:uiPriority w:val="0"/>
    <w:pPr>
      <w:tabs>
        <w:tab w:val="center" w:pos="4153"/>
        <w:tab w:val="right" w:pos="8306"/>
      </w:tabs>
    </w:pPr>
  </w:style>
  <w:style w:type="character" w:styleId="42">
    <w:name w:val="Hyperlink"/>
    <w:uiPriority w:val="0"/>
    <w:rPr>
      <w:color w:val="0000ff"/>
      <w:u w:val="single"/>
    </w:rPr>
  </w:style>
  <w:style w:type="paragraph" w:styleId="43">
    <w:name w:val="index 1"/>
    <w:basedOn w:val="1"/>
    <w:next w:val="1"/>
    <w:autoRedefine w:val="1"/>
    <w:uiPriority w:val="0"/>
    <w:semiHidden w:val="1"/>
    <w:pPr>
      <w:ind w:left="240" w:hanging="240"/>
    </w:pPr>
  </w:style>
  <w:style w:type="paragraph" w:styleId="44">
    <w:name w:val="index 2"/>
    <w:basedOn w:val="1"/>
    <w:next w:val="1"/>
    <w:autoRedefine w:val="1"/>
    <w:uiPriority w:val="0"/>
    <w:semiHidden w:val="1"/>
    <w:pPr>
      <w:ind w:left="480" w:hanging="240"/>
    </w:pPr>
  </w:style>
  <w:style w:type="paragraph" w:styleId="45">
    <w:name w:val="index 3"/>
    <w:basedOn w:val="1"/>
    <w:next w:val="1"/>
    <w:autoRedefine w:val="1"/>
    <w:uiPriority w:val="0"/>
    <w:semiHidden w:val="1"/>
    <w:pPr>
      <w:ind w:left="720" w:hanging="240"/>
    </w:pPr>
  </w:style>
  <w:style w:type="paragraph" w:styleId="46">
    <w:name w:val="index 4"/>
    <w:basedOn w:val="1"/>
    <w:next w:val="1"/>
    <w:autoRedefine w:val="1"/>
    <w:uiPriority w:val="0"/>
    <w:semiHidden w:val="1"/>
    <w:pPr>
      <w:ind w:left="960" w:hanging="240"/>
    </w:pPr>
  </w:style>
  <w:style w:type="paragraph" w:styleId="47">
    <w:name w:val="index 5"/>
    <w:basedOn w:val="1"/>
    <w:next w:val="1"/>
    <w:autoRedefine w:val="1"/>
    <w:uiPriority w:val="0"/>
    <w:semiHidden w:val="1"/>
    <w:pPr>
      <w:ind w:left="1200" w:hanging="240"/>
    </w:pPr>
  </w:style>
  <w:style w:type="paragraph" w:styleId="48">
    <w:name w:val="index 6"/>
    <w:basedOn w:val="1"/>
    <w:next w:val="1"/>
    <w:autoRedefine w:val="1"/>
    <w:uiPriority w:val="0"/>
    <w:semiHidden w:val="1"/>
    <w:pPr>
      <w:ind w:left="1440" w:hanging="240"/>
    </w:pPr>
  </w:style>
  <w:style w:type="paragraph" w:styleId="49">
    <w:name w:val="index 7"/>
    <w:basedOn w:val="1"/>
    <w:next w:val="1"/>
    <w:autoRedefine w:val="1"/>
    <w:uiPriority w:val="0"/>
    <w:semiHidden w:val="1"/>
    <w:pPr>
      <w:ind w:left="1680" w:hanging="240"/>
    </w:pPr>
  </w:style>
  <w:style w:type="paragraph" w:styleId="50">
    <w:name w:val="index 8"/>
    <w:basedOn w:val="1"/>
    <w:next w:val="1"/>
    <w:autoRedefine w:val="1"/>
    <w:uiPriority w:val="0"/>
    <w:semiHidden w:val="1"/>
    <w:pPr>
      <w:ind w:left="1920" w:hanging="240"/>
    </w:pPr>
  </w:style>
  <w:style w:type="paragraph" w:styleId="51">
    <w:name w:val="index 9"/>
    <w:basedOn w:val="1"/>
    <w:next w:val="1"/>
    <w:autoRedefine w:val="1"/>
    <w:uiPriority w:val="0"/>
    <w:semiHidden w:val="1"/>
    <w:pPr>
      <w:ind w:left="2160" w:hanging="240"/>
    </w:pPr>
  </w:style>
  <w:style w:type="paragraph" w:styleId="52">
    <w:name w:val="index heading"/>
    <w:basedOn w:val="1"/>
    <w:next w:val="43"/>
    <w:uiPriority w:val="0"/>
    <w:semiHidden w:val="1"/>
    <w:rPr>
      <w:rFonts w:ascii="Arial" w:hAnsi="Arial"/>
      <w:b w:val="1"/>
    </w:rPr>
  </w:style>
  <w:style w:type="paragraph" w:styleId="53">
    <w:name w:val="List"/>
    <w:basedOn w:val="1"/>
    <w:uiPriority w:val="0"/>
    <w:pPr>
      <w:ind w:left="283" w:hanging="283"/>
    </w:pPr>
  </w:style>
  <w:style w:type="paragraph" w:styleId="54">
    <w:name w:val="List 2"/>
    <w:basedOn w:val="1"/>
    <w:uiPriority w:val="0"/>
    <w:pPr>
      <w:ind w:left="566" w:hanging="283"/>
    </w:pPr>
  </w:style>
  <w:style w:type="paragraph" w:styleId="55">
    <w:name w:val="List 3"/>
    <w:basedOn w:val="1"/>
    <w:uiPriority w:val="0"/>
    <w:pPr>
      <w:ind w:left="849" w:hanging="283"/>
    </w:pPr>
  </w:style>
  <w:style w:type="paragraph" w:styleId="56">
    <w:name w:val="List 4"/>
    <w:basedOn w:val="1"/>
    <w:uiPriority w:val="0"/>
    <w:pPr>
      <w:ind w:left="1132" w:hanging="283"/>
    </w:pPr>
  </w:style>
  <w:style w:type="paragraph" w:styleId="57">
    <w:name w:val="List 5"/>
    <w:basedOn w:val="1"/>
    <w:uiPriority w:val="0"/>
    <w:pPr>
      <w:ind w:left="1415" w:hanging="283"/>
    </w:pPr>
  </w:style>
  <w:style w:type="paragraph" w:styleId="58">
    <w:name w:val="List Bullet"/>
    <w:basedOn w:val="1"/>
    <w:uiPriority w:val="0"/>
  </w:style>
  <w:style w:type="paragraph" w:styleId="59">
    <w:name w:val="List Bullet 2"/>
    <w:basedOn w:val="60"/>
    <w:uiPriority w:val="0"/>
    <w:pPr>
      <w:tabs>
        <w:tab w:val="left" w:pos="720"/>
      </w:tabs>
      <w:ind w:left="720" w:hanging="720"/>
    </w:pPr>
  </w:style>
  <w:style w:type="paragraph" w:styleId="60" w:customStyle="1">
    <w:name w:val="Text 2"/>
    <w:basedOn w:val="1"/>
    <w:uiPriority w:val="0"/>
    <w:pPr>
      <w:tabs>
        <w:tab w:val="left" w:pos="2161"/>
      </w:tabs>
      <w:ind w:left="1202"/>
    </w:pPr>
  </w:style>
  <w:style w:type="paragraph" w:styleId="61">
    <w:name w:val="List Bullet 3"/>
    <w:basedOn w:val="62"/>
    <w:uiPriority w:val="0"/>
    <w:pPr>
      <w:tabs>
        <w:tab w:val="left" w:pos="720"/>
      </w:tabs>
      <w:ind w:left="720" w:hanging="720"/>
    </w:pPr>
  </w:style>
  <w:style w:type="paragraph" w:styleId="62" w:customStyle="1">
    <w:name w:val="Text 3"/>
    <w:basedOn w:val="1"/>
    <w:uiPriority w:val="0"/>
    <w:pPr>
      <w:tabs>
        <w:tab w:val="left" w:pos="2302"/>
      </w:tabs>
      <w:ind w:left="1202"/>
    </w:pPr>
  </w:style>
  <w:style w:type="paragraph" w:styleId="63">
    <w:name w:val="List Bullet 4"/>
    <w:basedOn w:val="64"/>
    <w:uiPriority w:val="0"/>
    <w:pPr>
      <w:tabs>
        <w:tab w:val="left" w:pos="720"/>
      </w:tabs>
      <w:ind w:left="720" w:hanging="720"/>
    </w:pPr>
  </w:style>
  <w:style w:type="paragraph" w:styleId="64" w:customStyle="1">
    <w:name w:val="Text 4"/>
    <w:basedOn w:val="1"/>
    <w:uiPriority w:val="0"/>
    <w:pPr>
      <w:tabs>
        <w:tab w:val="left" w:pos="2302"/>
      </w:tabs>
      <w:ind w:left="1202"/>
    </w:pPr>
  </w:style>
  <w:style w:type="paragraph" w:styleId="65">
    <w:name w:val="List Bullet 5"/>
    <w:basedOn w:val="1"/>
    <w:autoRedefine w:val="1"/>
    <w:uiPriority w:val="0"/>
    <w:pPr>
      <w:numPr>
        <w:ilvl w:val="0"/>
        <w:numId w:val="1"/>
      </w:numPr>
    </w:pPr>
  </w:style>
  <w:style w:type="paragraph" w:styleId="66">
    <w:name w:val="List Continue"/>
    <w:basedOn w:val="1"/>
    <w:uiPriority w:val="0"/>
    <w:pPr>
      <w:spacing w:after="120"/>
      <w:ind w:left="283"/>
    </w:pPr>
  </w:style>
  <w:style w:type="paragraph" w:styleId="67">
    <w:name w:val="List Continue 2"/>
    <w:basedOn w:val="1"/>
    <w:uiPriority w:val="0"/>
    <w:pPr>
      <w:spacing w:after="120"/>
      <w:ind w:left="566"/>
    </w:pPr>
  </w:style>
  <w:style w:type="paragraph" w:styleId="68">
    <w:name w:val="List Continue 3"/>
    <w:basedOn w:val="1"/>
    <w:uiPriority w:val="0"/>
    <w:pPr>
      <w:spacing w:after="120"/>
      <w:ind w:left="849"/>
    </w:pPr>
  </w:style>
  <w:style w:type="paragraph" w:styleId="69">
    <w:name w:val="List Continue 4"/>
    <w:basedOn w:val="1"/>
    <w:uiPriority w:val="0"/>
    <w:pPr>
      <w:spacing w:after="120"/>
      <w:ind w:left="1132"/>
    </w:pPr>
  </w:style>
  <w:style w:type="paragraph" w:styleId="70">
    <w:name w:val="List Continue 5"/>
    <w:basedOn w:val="1"/>
    <w:uiPriority w:val="0"/>
    <w:pPr>
      <w:spacing w:after="120"/>
      <w:ind w:left="1415"/>
    </w:pPr>
  </w:style>
  <w:style w:type="paragraph" w:styleId="71">
    <w:name w:val="List Number"/>
    <w:basedOn w:val="1"/>
    <w:uiPriority w:val="0"/>
    <w:pPr>
      <w:tabs>
        <w:tab w:val="left" w:pos="720"/>
      </w:tabs>
      <w:ind w:left="720" w:hanging="720"/>
    </w:pPr>
  </w:style>
  <w:style w:type="paragraph" w:styleId="72">
    <w:name w:val="List Number 2"/>
    <w:basedOn w:val="60"/>
    <w:uiPriority w:val="0"/>
    <w:pPr>
      <w:tabs>
        <w:tab w:val="left" w:pos="720"/>
        <w:tab w:val="clear" w:pos="2161"/>
      </w:tabs>
      <w:ind w:left="720" w:hanging="720"/>
    </w:pPr>
  </w:style>
  <w:style w:type="paragraph" w:styleId="73">
    <w:name w:val="List Number 3"/>
    <w:basedOn w:val="62"/>
    <w:uiPriority w:val="0"/>
    <w:pPr>
      <w:tabs>
        <w:tab w:val="left" w:pos="720"/>
        <w:tab w:val="clear" w:pos="2302"/>
      </w:tabs>
      <w:ind w:left="720" w:hanging="720"/>
    </w:pPr>
  </w:style>
  <w:style w:type="paragraph" w:styleId="74">
    <w:name w:val="List Number 4"/>
    <w:basedOn w:val="64"/>
    <w:uiPriority w:val="0"/>
    <w:pPr>
      <w:tabs>
        <w:tab w:val="left" w:pos="720"/>
        <w:tab w:val="clear" w:pos="2302"/>
      </w:tabs>
      <w:ind w:left="720" w:hanging="720"/>
    </w:pPr>
  </w:style>
  <w:style w:type="paragraph" w:styleId="75">
    <w:name w:val="List Number 5"/>
    <w:basedOn w:val="1"/>
    <w:uiPriority w:val="0"/>
    <w:pPr>
      <w:tabs>
        <w:tab w:val="left" w:pos="720"/>
      </w:tabs>
      <w:ind w:left="720" w:hanging="720"/>
    </w:pPr>
  </w:style>
  <w:style w:type="paragraph" w:styleId="76">
    <w:name w:val="macro"/>
    <w:uiPriority w:val="0"/>
    <w:semiHidden w:val="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szCs w:val="24"/>
      <w:lang w:val="zh-CN"/>
    </w:rPr>
  </w:style>
  <w:style w:type="paragraph" w:styleId="77">
    <w:name w:val="Message Header"/>
    <w:basedOn w:val="1"/>
    <w:uiPriority w:val="0"/>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78">
    <w:name w:val="Normal Indent"/>
    <w:basedOn w:val="1"/>
    <w:uiPriority w:val="0"/>
    <w:pPr>
      <w:ind w:left="720"/>
    </w:pPr>
  </w:style>
  <w:style w:type="paragraph" w:styleId="79">
    <w:name w:val="Note Heading"/>
    <w:basedOn w:val="1"/>
    <w:next w:val="1"/>
    <w:uiPriority w:val="0"/>
  </w:style>
  <w:style w:type="character" w:styleId="80">
    <w:name w:val="page number"/>
    <w:basedOn w:val="11"/>
    <w:uiPriority w:val="0"/>
  </w:style>
  <w:style w:type="paragraph" w:styleId="81">
    <w:name w:val="Plain Text"/>
    <w:basedOn w:val="1"/>
    <w:uiPriority w:val="0"/>
    <w:rPr>
      <w:rFonts w:ascii="Courier New" w:hAnsi="Courier New"/>
      <w:sz w:val="20"/>
    </w:rPr>
  </w:style>
  <w:style w:type="paragraph" w:styleId="82">
    <w:name w:val="Salutation"/>
    <w:basedOn w:val="1"/>
    <w:next w:val="1"/>
    <w:uiPriority w:val="0"/>
  </w:style>
  <w:style w:type="paragraph" w:styleId="83">
    <w:name w:val="Signature"/>
    <w:basedOn w:val="1"/>
    <w:next w:val="84"/>
    <w:uiPriority w:val="0"/>
    <w:pPr>
      <w:tabs>
        <w:tab w:val="left" w:pos="5103"/>
      </w:tabs>
      <w:spacing w:after="0" w:before="1200"/>
      <w:ind w:left="5103"/>
      <w:jc w:val="center"/>
    </w:pPr>
  </w:style>
  <w:style w:type="paragraph" w:styleId="84" w:customStyle="1">
    <w:name w:val="Enclosures"/>
    <w:basedOn w:val="1"/>
    <w:uiPriority w:val="0"/>
    <w:pPr>
      <w:keepNext w:val="1"/>
      <w:keepLines w:val="1"/>
      <w:tabs>
        <w:tab w:val="left" w:pos="5642"/>
      </w:tabs>
      <w:spacing w:after="0" w:before="480"/>
      <w:ind w:left="1191" w:hanging="1191"/>
      <w:jc w:val="left"/>
    </w:pPr>
  </w:style>
  <w:style w:type="paragraph" w:styleId="86">
    <w:name w:val="table of authorities"/>
    <w:basedOn w:val="1"/>
    <w:next w:val="1"/>
    <w:uiPriority w:val="0"/>
    <w:semiHidden w:val="1"/>
    <w:pPr>
      <w:ind w:left="240" w:hanging="240"/>
    </w:pPr>
  </w:style>
  <w:style w:type="paragraph" w:styleId="87">
    <w:name w:val="table of figures"/>
    <w:basedOn w:val="1"/>
    <w:next w:val="1"/>
    <w:uiPriority w:val="0"/>
    <w:semiHidden w:val="1"/>
    <w:pPr>
      <w:ind w:left="480" w:hanging="480"/>
    </w:pPr>
  </w:style>
  <w:style w:type="paragraph" w:styleId="89">
    <w:name w:val="toa heading"/>
    <w:basedOn w:val="1"/>
    <w:next w:val="1"/>
    <w:uiPriority w:val="0"/>
    <w:semiHidden w:val="1"/>
    <w:pPr>
      <w:spacing w:before="120"/>
    </w:pPr>
    <w:rPr>
      <w:rFonts w:ascii="Arial" w:hAnsi="Arial"/>
      <w:b w:val="1"/>
    </w:rPr>
  </w:style>
  <w:style w:type="paragraph" w:styleId="90">
    <w:name w:val="toc 1"/>
    <w:basedOn w:val="1"/>
    <w:next w:val="1"/>
    <w:uiPriority w:val="0"/>
    <w:semiHidden w:val="1"/>
    <w:pPr>
      <w:tabs>
        <w:tab w:val="right" w:leader="dot" w:pos="8640"/>
      </w:tabs>
      <w:spacing w:after="120" w:before="120"/>
      <w:ind w:left="482" w:right="720" w:hanging="482"/>
    </w:pPr>
    <w:rPr>
      <w:caps w:val="1"/>
    </w:rPr>
  </w:style>
  <w:style w:type="paragraph" w:styleId="91">
    <w:name w:val="toc 2"/>
    <w:basedOn w:val="1"/>
    <w:next w:val="1"/>
    <w:uiPriority w:val="0"/>
    <w:semiHidden w:val="1"/>
    <w:pPr>
      <w:tabs>
        <w:tab w:val="right" w:leader="dot" w:pos="8640"/>
      </w:tabs>
      <w:spacing w:after="60" w:before="60"/>
      <w:ind w:left="1077" w:right="720" w:hanging="595"/>
    </w:pPr>
  </w:style>
  <w:style w:type="paragraph" w:styleId="92">
    <w:name w:val="toc 3"/>
    <w:basedOn w:val="1"/>
    <w:next w:val="1"/>
    <w:uiPriority w:val="0"/>
    <w:semiHidden w:val="1"/>
    <w:pPr>
      <w:tabs>
        <w:tab w:val="right" w:leader="dot" w:pos="8640"/>
      </w:tabs>
      <w:spacing w:after="60" w:before="60"/>
      <w:ind w:left="1916" w:right="720" w:hanging="839"/>
    </w:pPr>
  </w:style>
  <w:style w:type="paragraph" w:styleId="93">
    <w:name w:val="toc 4"/>
    <w:basedOn w:val="1"/>
    <w:next w:val="1"/>
    <w:uiPriority w:val="0"/>
    <w:semiHidden w:val="1"/>
    <w:pPr>
      <w:tabs>
        <w:tab w:val="right" w:leader="dot" w:pos="8641"/>
      </w:tabs>
      <w:spacing w:after="60" w:before="60"/>
      <w:ind w:left="2880" w:right="720" w:hanging="964"/>
    </w:pPr>
  </w:style>
  <w:style w:type="paragraph" w:styleId="94">
    <w:name w:val="toc 5"/>
    <w:basedOn w:val="1"/>
    <w:next w:val="1"/>
    <w:uiPriority w:val="0"/>
    <w:semiHidden w:val="1"/>
    <w:pPr>
      <w:tabs>
        <w:tab w:val="right" w:leader="dot" w:pos="8641"/>
      </w:tabs>
      <w:spacing w:after="120" w:before="240"/>
      <w:ind w:right="720"/>
    </w:pPr>
    <w:rPr>
      <w:caps w:val="1"/>
    </w:rPr>
  </w:style>
  <w:style w:type="paragraph" w:styleId="95">
    <w:name w:val="toc 6"/>
    <w:basedOn w:val="1"/>
    <w:next w:val="1"/>
    <w:autoRedefine w:val="1"/>
    <w:uiPriority w:val="0"/>
    <w:semiHidden w:val="1"/>
    <w:pPr>
      <w:ind w:left="1200"/>
    </w:pPr>
  </w:style>
  <w:style w:type="paragraph" w:styleId="96">
    <w:name w:val="toc 7"/>
    <w:basedOn w:val="1"/>
    <w:next w:val="1"/>
    <w:autoRedefine w:val="1"/>
    <w:uiPriority w:val="0"/>
    <w:semiHidden w:val="1"/>
    <w:pPr>
      <w:ind w:left="1440"/>
    </w:pPr>
  </w:style>
  <w:style w:type="paragraph" w:styleId="97">
    <w:name w:val="toc 8"/>
    <w:basedOn w:val="1"/>
    <w:next w:val="1"/>
    <w:autoRedefine w:val="1"/>
    <w:uiPriority w:val="0"/>
    <w:semiHidden w:val="1"/>
    <w:pPr>
      <w:ind w:left="1680"/>
    </w:pPr>
  </w:style>
  <w:style w:type="paragraph" w:styleId="98">
    <w:name w:val="toc 9"/>
    <w:basedOn w:val="1"/>
    <w:next w:val="1"/>
    <w:autoRedefine w:val="1"/>
    <w:uiPriority w:val="0"/>
    <w:semiHidden w:val="1"/>
    <w:pPr>
      <w:ind w:left="1920"/>
    </w:pPr>
  </w:style>
  <w:style w:type="table" w:styleId="99" w:customStyle="1">
    <w:name w:val="TableNormal"/>
    <w:uiPriority w:val="0"/>
    <w:tblPr>
      <w:tblCellMar>
        <w:top w:w="0.0" w:type="dxa"/>
        <w:left w:w="0.0" w:type="dxa"/>
        <w:bottom w:w="0.0" w:type="dxa"/>
        <w:right w:w="0.0" w:type="dxa"/>
      </w:tblCellMar>
    </w:tblPr>
  </w:style>
  <w:style w:type="paragraph" w:styleId="100" w:customStyle="1">
    <w:name w:val="Text 1"/>
    <w:basedOn w:val="1"/>
    <w:uiPriority w:val="0"/>
    <w:pPr>
      <w:ind w:left="482"/>
    </w:pPr>
  </w:style>
  <w:style w:type="paragraph" w:styleId="101" w:customStyle="1">
    <w:name w:val="Address"/>
    <w:basedOn w:val="1"/>
    <w:uiPriority w:val="0"/>
    <w:pPr>
      <w:spacing w:after="0"/>
      <w:jc w:val="left"/>
    </w:pPr>
  </w:style>
  <w:style w:type="paragraph" w:styleId="102" w:customStyle="1">
    <w:name w:val="AddressTL"/>
    <w:basedOn w:val="1"/>
    <w:next w:val="1"/>
    <w:uiPriority w:val="0"/>
    <w:pPr>
      <w:spacing w:after="720"/>
      <w:jc w:val="left"/>
    </w:pPr>
  </w:style>
  <w:style w:type="paragraph" w:styleId="103" w:customStyle="1">
    <w:name w:val="ChapterTitle"/>
    <w:basedOn w:val="1"/>
    <w:next w:val="104"/>
    <w:uiPriority w:val="0"/>
    <w:pPr>
      <w:keepNext w:val="1"/>
      <w:spacing w:after="480"/>
      <w:jc w:val="center"/>
    </w:pPr>
    <w:rPr>
      <w:b w:val="1"/>
      <w:sz w:val="32"/>
    </w:rPr>
  </w:style>
  <w:style w:type="paragraph" w:styleId="104" w:customStyle="1">
    <w:name w:val="SectionTitle"/>
    <w:basedOn w:val="1"/>
    <w:next w:val="2"/>
    <w:uiPriority w:val="0"/>
    <w:pPr>
      <w:keepNext w:val="1"/>
      <w:spacing w:after="480"/>
      <w:jc w:val="center"/>
    </w:pPr>
    <w:rPr>
      <w:b w:val="1"/>
      <w:smallCaps w:val="1"/>
      <w:sz w:val="28"/>
    </w:rPr>
  </w:style>
  <w:style w:type="paragraph" w:styleId="105" w:customStyle="1">
    <w:name w:val="DoubSign"/>
    <w:basedOn w:val="1"/>
    <w:next w:val="84"/>
    <w:uiPriority w:val="0"/>
    <w:pPr>
      <w:tabs>
        <w:tab w:val="left" w:pos="5103"/>
      </w:tabs>
      <w:spacing w:after="0" w:before="1200"/>
      <w:jc w:val="left"/>
    </w:pPr>
  </w:style>
  <w:style w:type="paragraph" w:styleId="106" w:customStyle="1">
    <w:name w:val="NoteHead"/>
    <w:basedOn w:val="1"/>
    <w:next w:val="107"/>
    <w:uiPriority w:val="0"/>
    <w:pPr>
      <w:spacing w:after="720" w:before="720"/>
      <w:jc w:val="center"/>
    </w:pPr>
    <w:rPr>
      <w:b w:val="1"/>
      <w:smallCaps w:val="1"/>
    </w:rPr>
  </w:style>
  <w:style w:type="paragraph" w:styleId="107" w:customStyle="1">
    <w:name w:val="Subject"/>
    <w:basedOn w:val="1"/>
    <w:next w:val="1"/>
    <w:uiPriority w:val="0"/>
    <w:pPr>
      <w:spacing w:after="480"/>
      <w:ind w:left="1191" w:hanging="1191"/>
      <w:jc w:val="left"/>
    </w:pPr>
    <w:rPr>
      <w:b w:val="1"/>
    </w:rPr>
  </w:style>
  <w:style w:type="paragraph" w:styleId="108" w:customStyle="1">
    <w:name w:val="NoteList"/>
    <w:basedOn w:val="1"/>
    <w:next w:val="107"/>
    <w:uiPriority w:val="0"/>
    <w:pPr>
      <w:tabs>
        <w:tab w:val="left" w:pos="5823"/>
      </w:tabs>
      <w:spacing w:after="720" w:before="720"/>
      <w:ind w:left="5104" w:hanging="3119"/>
      <w:jc w:val="left"/>
    </w:pPr>
    <w:rPr>
      <w:b w:val="1"/>
      <w:smallCaps w:val="1"/>
    </w:rPr>
  </w:style>
  <w:style w:type="paragraph" w:styleId="109" w:customStyle="1">
    <w:name w:val="NumPar 1"/>
    <w:basedOn w:val="2"/>
    <w:next w:val="100"/>
    <w:uiPriority w:val="0"/>
    <w:pPr>
      <w:keepNext w:val="0"/>
      <w:spacing w:before="0"/>
      <w:ind w:left="483" w:hanging="483"/>
      <w:outlineLvl w:val="9"/>
    </w:pPr>
    <w:rPr>
      <w:b w:val="0"/>
      <w:smallCaps w:val="0"/>
    </w:rPr>
  </w:style>
  <w:style w:type="paragraph" w:styleId="110" w:customStyle="1">
    <w:name w:val="NumPar 2"/>
    <w:basedOn w:val="3"/>
    <w:next w:val="60"/>
    <w:uiPriority w:val="0"/>
    <w:pPr>
      <w:keepNext w:val="0"/>
      <w:outlineLvl w:val="9"/>
    </w:pPr>
    <w:rPr>
      <w:b w:val="0"/>
    </w:rPr>
  </w:style>
  <w:style w:type="paragraph" w:styleId="111" w:customStyle="1">
    <w:name w:val="NumPar 3"/>
    <w:basedOn w:val="4"/>
    <w:next w:val="62"/>
    <w:uiPriority w:val="0"/>
    <w:pPr>
      <w:keepNext w:val="0"/>
      <w:outlineLvl w:val="9"/>
    </w:pPr>
    <w:rPr>
      <w:i w:val="0"/>
    </w:rPr>
  </w:style>
  <w:style w:type="paragraph" w:styleId="112" w:customStyle="1">
    <w:name w:val="NumPar 4"/>
    <w:basedOn w:val="5"/>
    <w:next w:val="64"/>
    <w:uiPriority w:val="0"/>
    <w:pPr>
      <w:keepNext w:val="0"/>
      <w:outlineLvl w:val="9"/>
    </w:pPr>
  </w:style>
  <w:style w:type="paragraph" w:styleId="113" w:customStyle="1">
    <w:name w:val="PartTitle"/>
    <w:basedOn w:val="1"/>
    <w:next w:val="103"/>
    <w:uiPriority w:val="0"/>
    <w:pPr>
      <w:keepNext w:val="1"/>
      <w:pageBreakBefore w:val="1"/>
      <w:spacing w:after="480"/>
      <w:jc w:val="center"/>
    </w:pPr>
    <w:rPr>
      <w:b w:val="1"/>
      <w:sz w:val="36"/>
    </w:rPr>
  </w:style>
  <w:style w:type="paragraph" w:styleId="114" w:customStyle="1">
    <w:name w:val="SubTitle 1"/>
    <w:basedOn w:val="1"/>
    <w:next w:val="115"/>
    <w:uiPriority w:val="0"/>
    <w:pPr>
      <w:jc w:val="center"/>
    </w:pPr>
    <w:rPr>
      <w:b w:val="1"/>
      <w:sz w:val="40"/>
    </w:rPr>
  </w:style>
  <w:style w:type="paragraph" w:styleId="115" w:customStyle="1">
    <w:name w:val="SubTitle 2"/>
    <w:basedOn w:val="1"/>
    <w:uiPriority w:val="0"/>
    <w:qFormat w:val="1"/>
    <w:pPr>
      <w:jc w:val="center"/>
    </w:pPr>
    <w:rPr>
      <w:b w:val="1"/>
      <w:sz w:val="32"/>
    </w:rPr>
  </w:style>
  <w:style w:type="paragraph" w:styleId="116" w:customStyle="1">
    <w:name w:val="YReferences"/>
    <w:basedOn w:val="1"/>
    <w:next w:val="1"/>
    <w:uiPriority w:val="0"/>
    <w:pPr>
      <w:spacing w:after="480"/>
      <w:ind w:left="1191" w:hanging="1191"/>
    </w:pPr>
  </w:style>
  <w:style w:type="paragraph" w:styleId="117" w:customStyle="1">
    <w:name w:val="Heading2b"/>
    <w:basedOn w:val="1"/>
    <w:uiPriority w:val="0"/>
    <w:pPr>
      <w:ind w:left="567" w:hanging="567"/>
      <w:jc w:val="center"/>
    </w:pPr>
    <w:rPr>
      <w:b w:val="1"/>
      <w:sz w:val="20"/>
      <w:u w:val="single"/>
    </w:rPr>
  </w:style>
  <w:style w:type="paragraph" w:styleId="118" w:customStyle="1">
    <w:name w:val="Annexe_title"/>
    <w:basedOn w:val="2"/>
    <w:next w:val="1"/>
    <w:autoRedefine w:val="1"/>
    <w:uiPriority w:val="0"/>
    <w:pPr>
      <w:keepNext w:val="0"/>
      <w:pageBreakBefore w:val="1"/>
      <w:tabs>
        <w:tab w:val="left" w:pos="1701"/>
        <w:tab w:val="left" w:pos="2552"/>
      </w:tabs>
      <w:ind w:left="0" w:firstLine="0"/>
      <w:outlineLvl w:val="9"/>
    </w:pPr>
    <w:rPr>
      <w:rFonts w:ascii="Arial" w:hAnsi="Arial"/>
      <w:b w:val="0"/>
      <w:caps w:val="1"/>
      <w:smallCaps w:val="0"/>
      <w:sz w:val="32"/>
    </w:rPr>
  </w:style>
  <w:style w:type="paragraph" w:styleId="119" w:customStyle="1">
    <w:name w:val="normal_tableau"/>
    <w:basedOn w:val="1"/>
    <w:uiPriority w:val="0"/>
    <w:pPr>
      <w:spacing w:after="120" w:before="120"/>
    </w:pPr>
    <w:rPr>
      <w:rFonts w:ascii="Optima" w:hAnsi="Optima"/>
      <w:sz w:val="22"/>
    </w:rPr>
  </w:style>
  <w:style w:type="paragraph" w:styleId="120" w:customStyle="1">
    <w:name w:val="Contact"/>
    <w:basedOn w:val="1"/>
    <w:next w:val="1"/>
    <w:uiPriority w:val="0"/>
    <w:pPr>
      <w:spacing w:after="480"/>
      <w:ind w:left="567" w:hanging="567"/>
      <w:jc w:val="left"/>
    </w:pPr>
  </w:style>
  <w:style w:type="paragraph" w:styleId="121" w:customStyle="1">
    <w:name w:val="List Bullet 1"/>
    <w:basedOn w:val="100"/>
    <w:uiPriority w:val="0"/>
    <w:pPr>
      <w:tabs>
        <w:tab w:val="left" w:pos="720"/>
      </w:tabs>
      <w:ind w:left="720" w:hanging="720"/>
    </w:pPr>
  </w:style>
  <w:style w:type="paragraph" w:styleId="122" w:customStyle="1">
    <w:name w:val="List Dash"/>
    <w:basedOn w:val="1"/>
    <w:uiPriority w:val="0"/>
    <w:pPr>
      <w:tabs>
        <w:tab w:val="left" w:pos="720"/>
      </w:tabs>
      <w:ind w:left="720" w:hanging="720"/>
    </w:pPr>
  </w:style>
  <w:style w:type="paragraph" w:styleId="123" w:customStyle="1">
    <w:name w:val="List Dash 1"/>
    <w:basedOn w:val="100"/>
    <w:uiPriority w:val="0"/>
    <w:pPr>
      <w:tabs>
        <w:tab w:val="left" w:pos="720"/>
      </w:tabs>
      <w:ind w:left="720" w:hanging="720"/>
    </w:pPr>
  </w:style>
  <w:style w:type="paragraph" w:styleId="124" w:customStyle="1">
    <w:name w:val="List Dash 2"/>
    <w:basedOn w:val="60"/>
    <w:uiPriority w:val="0"/>
    <w:pPr>
      <w:tabs>
        <w:tab w:val="left" w:pos="720"/>
        <w:tab w:val="clear" w:pos="2161"/>
      </w:tabs>
      <w:ind w:left="720" w:hanging="720"/>
    </w:pPr>
  </w:style>
  <w:style w:type="paragraph" w:styleId="125" w:customStyle="1">
    <w:name w:val="List Dash 3"/>
    <w:basedOn w:val="62"/>
    <w:uiPriority w:val="0"/>
    <w:pPr>
      <w:tabs>
        <w:tab w:val="left" w:pos="720"/>
        <w:tab w:val="clear" w:pos="2302"/>
      </w:tabs>
      <w:ind w:left="720" w:hanging="720"/>
    </w:pPr>
  </w:style>
  <w:style w:type="paragraph" w:styleId="126" w:customStyle="1">
    <w:name w:val="List Dash 4"/>
    <w:basedOn w:val="64"/>
    <w:uiPriority w:val="0"/>
    <w:pPr>
      <w:tabs>
        <w:tab w:val="left" w:pos="720"/>
        <w:tab w:val="clear" w:pos="2302"/>
      </w:tabs>
      <w:ind w:left="720" w:hanging="720"/>
    </w:pPr>
  </w:style>
  <w:style w:type="paragraph" w:styleId="127" w:customStyle="1">
    <w:name w:val="List Number 1"/>
    <w:basedOn w:val="100"/>
    <w:uiPriority w:val="0"/>
    <w:pPr>
      <w:tabs>
        <w:tab w:val="left" w:pos="720"/>
      </w:tabs>
      <w:ind w:left="720" w:hanging="720"/>
    </w:pPr>
  </w:style>
  <w:style w:type="paragraph" w:styleId="128" w:customStyle="1">
    <w:name w:val="List Number (Level 2)"/>
    <w:basedOn w:val="1"/>
    <w:uiPriority w:val="0"/>
  </w:style>
  <w:style w:type="paragraph" w:styleId="129" w:customStyle="1">
    <w:name w:val="List Number 1 (Level 2)"/>
    <w:basedOn w:val="100"/>
    <w:uiPriority w:val="0"/>
    <w:pPr>
      <w:tabs>
        <w:tab w:val="left" w:pos="1440"/>
      </w:tabs>
      <w:ind w:left="1440" w:hanging="720"/>
    </w:pPr>
  </w:style>
  <w:style w:type="paragraph" w:styleId="130" w:customStyle="1">
    <w:name w:val="List Number 2 (Level 2)"/>
    <w:basedOn w:val="60"/>
    <w:uiPriority w:val="0"/>
    <w:pPr>
      <w:tabs>
        <w:tab w:val="left" w:pos="1440"/>
        <w:tab w:val="clear" w:pos="2161"/>
      </w:tabs>
      <w:ind w:left="1440" w:hanging="720"/>
    </w:pPr>
  </w:style>
  <w:style w:type="paragraph" w:styleId="131" w:customStyle="1">
    <w:name w:val="List Number 3 (Level 2)"/>
    <w:basedOn w:val="62"/>
    <w:uiPriority w:val="0"/>
    <w:pPr>
      <w:tabs>
        <w:tab w:val="left" w:pos="1440"/>
        <w:tab w:val="clear" w:pos="2302"/>
      </w:tabs>
      <w:ind w:left="1440" w:hanging="720"/>
    </w:pPr>
  </w:style>
  <w:style w:type="paragraph" w:styleId="132" w:customStyle="1">
    <w:name w:val="List Number 4 (Level 2)"/>
    <w:basedOn w:val="64"/>
    <w:uiPriority w:val="0"/>
    <w:pPr>
      <w:tabs>
        <w:tab w:val="left" w:pos="1440"/>
        <w:tab w:val="clear" w:pos="2302"/>
      </w:tabs>
      <w:ind w:left="1440" w:hanging="720"/>
    </w:pPr>
  </w:style>
  <w:style w:type="paragraph" w:styleId="133" w:customStyle="1">
    <w:name w:val="List Number (Level 3)"/>
    <w:basedOn w:val="1"/>
    <w:uiPriority w:val="0"/>
  </w:style>
  <w:style w:type="paragraph" w:styleId="134" w:customStyle="1">
    <w:name w:val="List Number 1 (Level 3)"/>
    <w:basedOn w:val="100"/>
    <w:uiPriority w:val="0"/>
    <w:pPr>
      <w:tabs>
        <w:tab w:val="left" w:pos="2160"/>
      </w:tabs>
      <w:ind w:left="2160" w:hanging="720"/>
    </w:pPr>
  </w:style>
  <w:style w:type="paragraph" w:styleId="135" w:customStyle="1">
    <w:name w:val="List Number 2 (Level 3)"/>
    <w:basedOn w:val="60"/>
    <w:uiPriority w:val="0"/>
    <w:pPr>
      <w:tabs>
        <w:tab w:val="clear" w:pos="2161"/>
      </w:tabs>
      <w:ind w:left="2160" w:hanging="720"/>
    </w:pPr>
  </w:style>
  <w:style w:type="paragraph" w:styleId="136" w:customStyle="1">
    <w:name w:val="List Number 3 (Level 3)"/>
    <w:basedOn w:val="62"/>
    <w:uiPriority w:val="0"/>
    <w:pPr>
      <w:tabs>
        <w:tab w:val="left" w:pos="2160"/>
        <w:tab w:val="clear" w:pos="2302"/>
      </w:tabs>
      <w:ind w:left="2160" w:hanging="720"/>
    </w:pPr>
  </w:style>
  <w:style w:type="paragraph" w:styleId="137" w:customStyle="1">
    <w:name w:val="List Number 4 (Level 3)"/>
    <w:basedOn w:val="64"/>
    <w:uiPriority w:val="0"/>
    <w:pPr>
      <w:tabs>
        <w:tab w:val="left" w:pos="2160"/>
        <w:tab w:val="clear" w:pos="2302"/>
      </w:tabs>
      <w:ind w:left="2160" w:hanging="720"/>
    </w:pPr>
  </w:style>
  <w:style w:type="paragraph" w:styleId="138" w:customStyle="1">
    <w:name w:val="List Number (Level 4)"/>
    <w:basedOn w:val="1"/>
    <w:uiPriority w:val="0"/>
  </w:style>
  <w:style w:type="paragraph" w:styleId="139" w:customStyle="1">
    <w:name w:val="List Number 1 (Level 4)"/>
    <w:basedOn w:val="100"/>
    <w:uiPriority w:val="0"/>
    <w:pPr>
      <w:tabs>
        <w:tab w:val="left" w:pos="2880"/>
      </w:tabs>
      <w:ind w:left="2880" w:hanging="720"/>
    </w:pPr>
  </w:style>
  <w:style w:type="paragraph" w:styleId="140" w:customStyle="1">
    <w:name w:val="List Number 2 (Level 4)"/>
    <w:basedOn w:val="60"/>
    <w:uiPriority w:val="0"/>
    <w:pPr>
      <w:tabs>
        <w:tab w:val="left" w:pos="2880"/>
        <w:tab w:val="clear" w:pos="2161"/>
      </w:tabs>
      <w:ind w:left="2880" w:hanging="720"/>
    </w:pPr>
  </w:style>
  <w:style w:type="paragraph" w:styleId="141" w:customStyle="1">
    <w:name w:val="List Number 3 (Level 4)"/>
    <w:basedOn w:val="62"/>
    <w:uiPriority w:val="0"/>
    <w:pPr>
      <w:tabs>
        <w:tab w:val="left" w:pos="2880"/>
        <w:tab w:val="clear" w:pos="2302"/>
      </w:tabs>
      <w:ind w:left="2880" w:hanging="720"/>
    </w:pPr>
  </w:style>
  <w:style w:type="paragraph" w:styleId="142" w:customStyle="1">
    <w:name w:val="List Number 4 (Level 4)"/>
    <w:basedOn w:val="64"/>
    <w:uiPriority w:val="0"/>
    <w:pPr>
      <w:tabs>
        <w:tab w:val="left" w:pos="2880"/>
        <w:tab w:val="clear" w:pos="2302"/>
      </w:tabs>
      <w:ind w:left="2880" w:hanging="720"/>
    </w:pPr>
  </w:style>
  <w:style w:type="paragraph" w:styleId="143" w:customStyle="1">
    <w:name w:val="TOC Heading"/>
    <w:basedOn w:val="1"/>
    <w:next w:val="1"/>
    <w:uiPriority w:val="0"/>
    <w:qFormat w:val="1"/>
    <w:pPr>
      <w:keepNext w:val="1"/>
      <w:spacing w:before="240"/>
      <w:jc w:val="center"/>
    </w:pPr>
    <w:rPr>
      <w:b w:val="1"/>
    </w:rPr>
  </w:style>
  <w:style w:type="character" w:styleId="144" w:customStyle="1">
    <w:name w:val="DefaultMargins"/>
    <w:uiPriority w:val="0"/>
    <w:rPr>
      <w:rFonts w:ascii="Times New Roman" w:cs="Times New Roman" w:hAnsi="Times New Roman"/>
      <w:sz w:val="24"/>
      <w:szCs w:val="24"/>
      <w:lang w:val="en-US"/>
    </w:rPr>
  </w:style>
  <w:style w:type="character" w:styleId="145" w:customStyle="1">
    <w:name w:val="tw4winMark"/>
    <w:uiPriority w:val="0"/>
    <w:rPr>
      <w:rFonts w:ascii="Times New Roman" w:cs="Times New Roman" w:hAnsi="Times New Roman"/>
      <w:vanish w:val="1"/>
      <w:color w:val="800080"/>
      <w:sz w:val="24"/>
      <w:szCs w:val="24"/>
      <w:vertAlign w:val="subscript"/>
    </w:rPr>
  </w:style>
  <w:style w:type="character" w:styleId="146" w:customStyle="1">
    <w:name w:val="Heading 1 Char"/>
    <w:link w:val="2"/>
    <w:uiPriority w:val="0"/>
    <w:rPr>
      <w:b w:val="1"/>
      <w:smallCaps w:val="1"/>
      <w:kern w:val="28"/>
      <w:sz w:val="24"/>
    </w:rPr>
  </w:style>
  <w:style w:type="paragraph" w:styleId="147" w:customStyle="1">
    <w:name w:val="Style List Number + 11 pt Bold"/>
    <w:basedOn w:val="71"/>
    <w:autoRedefine w:val="1"/>
    <w:uiPriority w:val="0"/>
    <w:pPr>
      <w:tabs>
        <w:tab w:val="clear" w:pos="720"/>
      </w:tabs>
      <w:spacing w:after="120" w:before="240"/>
      <w:ind w:left="567" w:hanging="567"/>
    </w:pPr>
    <w:rPr>
      <w:b w:val="1"/>
      <w:bCs w:val="1"/>
    </w:rPr>
  </w:style>
  <w:style w:type="character" w:styleId="148" w:customStyle="1">
    <w:name w:val="Style Footnote Reference + Times New Roman 11 pt"/>
    <w:uiPriority w:val="0"/>
    <w:rPr>
      <w:rFonts w:ascii="Times New Roman" w:hAnsi="Times New Roman"/>
      <w:position w:val="6"/>
      <w:sz w:val="20"/>
    </w:rPr>
  </w:style>
  <w:style w:type="character" w:styleId="149" w:customStyle="1">
    <w:name w:val="Comment Text Char"/>
    <w:link w:val="26"/>
    <w:uiPriority w:val="99"/>
    <w:semiHidden w:val="1"/>
  </w:style>
  <w:style w:type="paragraph" w:styleId="150">
    <w:name w:val="List Paragraph"/>
    <w:basedOn w:val="1"/>
    <w:uiPriority w:val="34"/>
    <w:qFormat w:val="1"/>
    <w:pPr>
      <w:spacing w:after="200" w:line="276" w:lineRule="auto"/>
      <w:ind w:left="720"/>
      <w:contextualSpacing w:val="1"/>
      <w:jc w:val="left"/>
    </w:pPr>
    <w:rPr>
      <w:rFonts w:ascii="Calibri" w:eastAsia="Calibri" w:hAnsi="Calibri"/>
      <w:sz w:val="22"/>
      <w:szCs w:val="22"/>
    </w:rPr>
  </w:style>
  <w:style w:type="character" w:styleId="151" w:customStyle="1">
    <w:name w:val="Footnote Text Char"/>
    <w:link w:val="40"/>
    <w:uiPriority w:val="0"/>
  </w:style>
  <w:style w:type="paragraph" w:styleId="152">
    <w:name w:val="No Spacing"/>
    <w:uiPriority w:val="1"/>
    <w:qFormat w:val="1"/>
    <w:pPr>
      <w:spacing w:after="240"/>
      <w:jc w:val="both"/>
    </w:pPr>
    <w:rPr>
      <w:sz w:val="24"/>
      <w:szCs w:val="24"/>
      <w:lang w:val="zh-CN"/>
    </w:rPr>
  </w:style>
  <w:style w:type="table" w:styleId="153" w:customStyle="1">
    <w:name w:val="_Style 152"/>
    <w:basedOn w:val="99"/>
    <w:uiPriority w:val="0"/>
    <w:tblPr>
      <w:tblCellMar>
        <w:left w:w="115.0" w:type="dxa"/>
        <w:right w:w="115.0" w:type="dxa"/>
      </w:tblCellMar>
    </w:tblPr>
  </w:style>
  <w:style w:type="table" w:styleId="154" w:customStyle="1">
    <w:name w:val="_Style 153"/>
    <w:basedOn w:val="99"/>
    <w:uiPriority w:val="0"/>
    <w:tblPr>
      <w:tblCellMar>
        <w:left w:w="115.0" w:type="dxa"/>
        <w:right w:w="115.0" w:type="dxa"/>
      </w:tblCellMar>
    </w:tblPr>
  </w:style>
  <w:style w:type="table" w:styleId="155" w:customStyle="1">
    <w:name w:val="_Style 155"/>
    <w:basedOn w:val="99"/>
    <w:uiPriority w:val="0"/>
    <w:tblPr>
      <w:tblCellMar>
        <w:top w:w="0.0" w:type="dxa"/>
        <w:left w:w="115.0" w:type="dxa"/>
        <w:bottom w:w="0.0" w:type="dxa"/>
        <w:right w:w="115.0" w:type="dxa"/>
      </w:tblCellMar>
    </w:tblPr>
  </w:style>
  <w:style w:type="table" w:styleId="156" w:customStyle="1">
    <w:name w:val="_Style 156"/>
    <w:basedOn w:val="99"/>
    <w:uiPriority w:val="0"/>
    <w:tblPr>
      <w:tblCellMar>
        <w:top w:w="0.0" w:type="dxa"/>
        <w:left w:w="115.0" w:type="dxa"/>
        <w:bottom w:w="0.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LpsGRcgwL/4QLfcRE9XoiXfToQ==">CgMxLjAyDmgudjYzaDdnMm01NmE4Mg5oLmtnZWR4dzg5NGt6MjgAciExaWxaNlI0bk1hWXgxWFhhQ3FKWjd2WUFVejFUeW5MRmI=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2025-07-08T10:47:00Z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KSOProductBuildVer">
    <vt:lpwstr>1033-12.2.0.21546</vt:lpwstr>
  </property>
  <property fmtid="{D5CDD505-2E9C-101B-9397-08002B2CF9AE}" pid="12" name="ICV">
    <vt:lpwstr>F06AE4507C6F463686ACCCC3DD801EEB_12</vt:lpwstr>
  </property>
</Properties>
</file>