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2"/>
        </w:numPr>
        <w:tabs>
          <w:tab w:val="right" w:leader="none" w:pos="567"/>
          <w:tab w:val="left" w:leader="none" w:pos="2268"/>
        </w:tabs>
        <w:ind w:left="720" w:hanging="360"/>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i w:val="1"/>
          <w:sz w:val="40"/>
          <w:szCs w:val="40"/>
          <w:rtl w:val="0"/>
        </w:rPr>
        <w:t xml:space="preserve">ANNEX II + III:</w:t>
        <w:tab/>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sz w:val="28"/>
          <w:szCs w:val="28"/>
          <w:rtl w:val="0"/>
        </w:rPr>
        <w:t xml:space="preserve">TECHNICAL SPECIFICATIONS + TECHNICAL OFFER</w:t>
      </w:r>
    </w:p>
    <w:p w:rsidR="00000000" w:rsidDel="00000000" w:rsidP="00000000" w:rsidRDefault="00000000" w:rsidRPr="00000000" w14:paraId="00000002">
      <w:pPr>
        <w:spacing w:after="0" w:before="0" w:lineRule="auto"/>
        <w:ind w:left="567" w:hanging="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tabs>
          <w:tab w:val="right" w:leader="none" w:pos="14459"/>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Contract title:</w:t>
      </w:r>
      <w:r w:rsidDel="00000000" w:rsidR="00000000" w:rsidRPr="00000000">
        <w:rPr>
          <w:rFonts w:ascii="Times New Roman" w:cs="Times New Roman" w:eastAsia="Times New Roman" w:hAnsi="Times New Roman"/>
          <w:b w:val="1"/>
          <w:sz w:val="22"/>
          <w:szCs w:val="22"/>
          <w:rtl w:val="0"/>
        </w:rPr>
        <w:t xml:space="preserve"> Supply of venue for Business Center to Roma Entrepreneurship Development Initiative REDI Turkiye</w:t>
        <w:tab/>
        <w:t xml:space="preserve">p 1 /2</w:t>
      </w:r>
      <w:r w:rsidDel="00000000" w:rsidR="00000000" w:rsidRPr="00000000">
        <w:rPr>
          <w:rtl w:val="0"/>
        </w:rPr>
      </w:r>
    </w:p>
    <w:p w:rsidR="00000000" w:rsidDel="00000000" w:rsidP="00000000" w:rsidRDefault="00000000" w:rsidRPr="00000000" w14:paraId="00000004">
      <w:pPr>
        <w:tabs>
          <w:tab w:val="left" w:leader="none" w:pos="7491"/>
        </w:tabs>
        <w:rPr>
          <w:rFonts w:ascii="Times New Roman" w:cs="Times New Roman" w:eastAsia="Times New Roman" w:hAnsi="Times New Roman"/>
          <w:b w:val="1"/>
          <w:sz w:val="22"/>
          <w:szCs w:val="22"/>
        </w:rPr>
      </w:pPr>
      <w:bookmarkStart w:colFirst="0" w:colLast="0" w:name="_heading=h.30j0zll" w:id="1"/>
      <w:bookmarkEnd w:id="1"/>
      <w:r w:rsidDel="00000000" w:rsidR="00000000" w:rsidRPr="00000000">
        <w:rPr>
          <w:rFonts w:ascii="Times New Roman" w:cs="Times New Roman" w:eastAsia="Times New Roman" w:hAnsi="Times New Roman"/>
          <w:sz w:val="22"/>
          <w:szCs w:val="22"/>
          <w:rtl w:val="0"/>
        </w:rPr>
        <w:t xml:space="preserve">Publication reference: </w:t>
      </w:r>
      <w:r w:rsidDel="00000000" w:rsidR="00000000" w:rsidRPr="00000000">
        <w:rPr>
          <w:rFonts w:ascii="Times New Roman" w:cs="Times New Roman" w:eastAsia="Times New Roman" w:hAnsi="Times New Roman"/>
          <w:b w:val="1"/>
          <w:sz w:val="22"/>
          <w:szCs w:val="22"/>
          <w:rtl w:val="0"/>
        </w:rPr>
        <w:t xml:space="preserve">IPA III/2024/457-197/</w:t>
      </w:r>
      <w:r w:rsidDel="00000000" w:rsidR="00000000" w:rsidRPr="00000000">
        <w:rPr>
          <w:rFonts w:ascii="Times New Roman" w:cs="Times New Roman" w:eastAsia="Times New Roman" w:hAnsi="Times New Roman"/>
          <w:b w:val="1"/>
          <w:sz w:val="22"/>
          <w:szCs w:val="22"/>
          <w:rtl w:val="0"/>
        </w:rPr>
        <w:t xml:space="preserve">TK-00</w:t>
      </w:r>
      <w:r w:rsidDel="00000000" w:rsidR="00000000" w:rsidRPr="00000000">
        <w:rPr>
          <w:rFonts w:ascii="Times New Roman" w:cs="Times New Roman" w:eastAsia="Times New Roman" w:hAnsi="Times New Roman"/>
          <w:b w:val="1"/>
          <w:sz w:val="22"/>
          <w:szCs w:val="22"/>
          <w:rtl w:val="0"/>
        </w:rPr>
        <w:t xml:space="preserve">2</w:t>
      </w:r>
    </w:p>
    <w:p w:rsidR="00000000" w:rsidDel="00000000" w:rsidP="00000000" w:rsidRDefault="00000000" w:rsidRPr="00000000" w14:paraId="00000005">
      <w:pPr>
        <w:tabs>
          <w:tab w:val="left" w:leader="none" w:pos="7491"/>
        </w:tabs>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Project:</w:t>
      </w:r>
      <w:r w:rsidDel="00000000" w:rsidR="00000000" w:rsidRPr="00000000">
        <w:rPr>
          <w:rFonts w:ascii="Times New Roman" w:cs="Times New Roman" w:eastAsia="Times New Roman" w:hAnsi="Times New Roman"/>
          <w:b w:val="1"/>
          <w:sz w:val="22"/>
          <w:szCs w:val="22"/>
          <w:rtl w:val="0"/>
        </w:rPr>
        <w:t xml:space="preserve"> EU Support to REDI Phase II: Advancing Roma Entrepreneurs in the Western Balkans and Turkiye</w:t>
      </w:r>
    </w:p>
    <w:p w:rsidR="00000000" w:rsidDel="00000000" w:rsidP="00000000" w:rsidRDefault="00000000" w:rsidRPr="00000000" w14:paraId="00000006">
      <w:pPr>
        <w:tabs>
          <w:tab w:val="left" w:leader="none" w:pos="7491"/>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7">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8">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A">
      <w:pPr>
        <w:spacing w:after="0" w:before="0" w:lineRule="auto"/>
        <w:ind w:left="567" w:hanging="567"/>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B">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1-2 should be completed by the contracting authority</w:t>
      </w:r>
    </w:p>
    <w:p w:rsidR="00000000" w:rsidDel="00000000" w:rsidP="00000000" w:rsidRDefault="00000000" w:rsidRPr="00000000" w14:paraId="0000000C">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3-4 should be completed by the tenderer</w:t>
      </w:r>
    </w:p>
    <w:p w:rsidR="00000000" w:rsidDel="00000000" w:rsidP="00000000" w:rsidRDefault="00000000" w:rsidRPr="00000000" w14:paraId="0000000D">
      <w:pPr>
        <w:spacing w:before="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2"/>
          <w:szCs w:val="22"/>
          <w:rtl w:val="0"/>
        </w:rPr>
        <w:t xml:space="preserve">Column 5 is reserved for the evaluation committee </w:t>
      </w:r>
      <w:r w:rsidDel="00000000" w:rsidR="00000000" w:rsidRPr="00000000">
        <w:rPr>
          <w:rtl w:val="0"/>
        </w:rPr>
      </w:r>
    </w:p>
    <w:p w:rsidR="00000000" w:rsidDel="00000000" w:rsidP="00000000" w:rsidRDefault="00000000" w:rsidRPr="00000000" w14:paraId="0000000E">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III - the contractor's technical offer</w:t>
      </w:r>
    </w:p>
    <w:p w:rsidR="00000000" w:rsidDel="00000000" w:rsidP="00000000" w:rsidRDefault="00000000" w:rsidRPr="00000000" w14:paraId="0000000F">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tenderers are requested to complete the template on the next pages: </w:t>
      </w:r>
    </w:p>
    <w:p w:rsidR="00000000" w:rsidDel="00000000" w:rsidP="00000000" w:rsidRDefault="00000000" w:rsidRPr="00000000" w14:paraId="00000010">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2 is completed by the contracting authority shows the required specifications (not to be modified by the tenderer), </w:t>
      </w:r>
    </w:p>
    <w:p w:rsidR="00000000" w:rsidDel="00000000" w:rsidP="00000000" w:rsidRDefault="00000000" w:rsidRPr="00000000" w14:paraId="00000011">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3 is to be filled in by the tenderer and must detail what is offered (for example the words ‘compliant’ or ‘yes’ are not sufficient)  </w:t>
      </w:r>
    </w:p>
    <w:p w:rsidR="00000000" w:rsidDel="00000000" w:rsidP="00000000" w:rsidRDefault="00000000" w:rsidRPr="00000000" w14:paraId="00000012">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4 allows the tenderer to make comments on its proposed supply and to make eventual references to the documentation</w:t>
      </w:r>
    </w:p>
    <w:p w:rsidR="00000000" w:rsidDel="00000000" w:rsidP="00000000" w:rsidRDefault="00000000" w:rsidRPr="00000000" w14:paraId="0000001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rsidR="00000000" w:rsidDel="00000000" w:rsidP="00000000" w:rsidRDefault="00000000" w:rsidRPr="00000000" w14:paraId="00000014">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offer must be clear enough to allow the evaluators to make an easy comparison between the requested specifications and the offered</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specifications.</w:t>
      </w:r>
    </w:p>
    <w:p w:rsidR="00000000" w:rsidDel="00000000" w:rsidP="00000000" w:rsidRDefault="00000000" w:rsidRPr="00000000" w14:paraId="00000015">
      <w:pPr>
        <w:ind w:left="567" w:hanging="567"/>
        <w:jc w:val="both"/>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tbl>
      <w:tblPr>
        <w:tblStyle w:val="Table1"/>
        <w:tblW w:w="149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60"/>
        <w:gridCol w:w="6000"/>
        <w:gridCol w:w="3435"/>
        <w:gridCol w:w="1815"/>
        <w:gridCol w:w="1815"/>
        <w:tblGridChange w:id="0">
          <w:tblGrid>
            <w:gridCol w:w="1860"/>
            <w:gridCol w:w="6000"/>
            <w:gridCol w:w="3435"/>
            <w:gridCol w:w="1815"/>
            <w:gridCol w:w="1815"/>
          </w:tblGrid>
        </w:tblGridChange>
      </w:tblGrid>
      <w:tr>
        <w:trPr>
          <w:cantSplit w:val="1"/>
          <w:trHeight w:val="879" w:hRule="atLeast"/>
          <w:tblHeader w:val="1"/>
        </w:trPr>
        <w:tc>
          <w:tcPr>
            <w:shd w:fill="f2f2f2" w:val="clear"/>
          </w:tcPr>
          <w:p w:rsidR="00000000" w:rsidDel="00000000" w:rsidP="00000000" w:rsidRDefault="00000000" w:rsidRPr="00000000" w14:paraId="00000016">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1.</w:t>
            </w:r>
          </w:p>
          <w:p w:rsidR="00000000" w:rsidDel="00000000" w:rsidP="00000000" w:rsidRDefault="00000000" w:rsidRPr="00000000" w14:paraId="00000017">
            <w:pPr>
              <w:jc w:val="center"/>
              <w:rPr>
                <w:rFonts w:ascii="Times New Roman" w:cs="Times New Roman" w:eastAsia="Times New Roman" w:hAnsi="Times New Roman"/>
                <w:b w:val="1"/>
                <w:sz w:val="22"/>
                <w:szCs w:val="22"/>
                <w:highlight w:val="green"/>
              </w:rPr>
            </w:pPr>
            <w:r w:rsidDel="00000000" w:rsidR="00000000" w:rsidRPr="00000000">
              <w:rPr>
                <w:rFonts w:ascii="Times New Roman" w:cs="Times New Roman" w:eastAsia="Times New Roman" w:hAnsi="Times New Roman"/>
                <w:b w:val="1"/>
                <w:sz w:val="22"/>
                <w:szCs w:val="22"/>
                <w:rtl w:val="0"/>
              </w:rPr>
              <w:t xml:space="preserve">Item number</w:t>
            </w:r>
            <w:r w:rsidDel="00000000" w:rsidR="00000000" w:rsidRPr="00000000">
              <w:rPr>
                <w:rtl w:val="0"/>
              </w:rPr>
            </w:r>
          </w:p>
        </w:tc>
        <w:tc>
          <w:tcPr>
            <w:shd w:fill="f2f2f2" w:val="clear"/>
          </w:tcPr>
          <w:p w:rsidR="00000000" w:rsidDel="00000000" w:rsidP="00000000" w:rsidRDefault="00000000" w:rsidRPr="00000000" w14:paraId="00000018">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w:t>
            </w:r>
          </w:p>
          <w:p w:rsidR="00000000" w:rsidDel="00000000" w:rsidP="00000000" w:rsidRDefault="00000000" w:rsidRPr="00000000" w14:paraId="00000019">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Specifications required</w:t>
            </w:r>
          </w:p>
        </w:tc>
        <w:tc>
          <w:tcPr>
            <w:shd w:fill="f2f2f2" w:val="clear"/>
          </w:tcPr>
          <w:p w:rsidR="00000000" w:rsidDel="00000000" w:rsidP="00000000" w:rsidRDefault="00000000" w:rsidRPr="00000000" w14:paraId="0000001A">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w:t>
            </w:r>
          </w:p>
          <w:p w:rsidR="00000000" w:rsidDel="00000000" w:rsidP="00000000" w:rsidRDefault="00000000" w:rsidRPr="00000000" w14:paraId="0000001B">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Specifications offered</w:t>
            </w:r>
          </w:p>
        </w:tc>
        <w:tc>
          <w:tcPr>
            <w:shd w:fill="f2f2f2" w:val="clear"/>
          </w:tcPr>
          <w:p w:rsidR="00000000" w:rsidDel="00000000" w:rsidP="00000000" w:rsidRDefault="00000000" w:rsidRPr="00000000" w14:paraId="0000001C">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4. </w:t>
            </w:r>
          </w:p>
          <w:p w:rsidR="00000000" w:rsidDel="00000000" w:rsidP="00000000" w:rsidRDefault="00000000" w:rsidRPr="00000000" w14:paraId="0000001D">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Notes, remarks, </w:t>
              <w:br w:type="textWrapping"/>
              <w:t xml:space="preserve">ref to documentation</w:t>
            </w:r>
          </w:p>
        </w:tc>
        <w:tc>
          <w:tcPr>
            <w:shd w:fill="f2f2f2" w:val="clear"/>
          </w:tcPr>
          <w:p w:rsidR="00000000" w:rsidDel="00000000" w:rsidP="00000000" w:rsidRDefault="00000000" w:rsidRPr="00000000" w14:paraId="0000001E">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5.</w:t>
            </w:r>
          </w:p>
          <w:p w:rsidR="00000000" w:rsidDel="00000000" w:rsidP="00000000" w:rsidRDefault="00000000" w:rsidRPr="00000000" w14:paraId="0000001F">
            <w:pPr>
              <w:tabs>
                <w:tab w:val="left" w:leader="none" w:pos="729"/>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Evaluation committee’s notes </w:t>
            </w:r>
          </w:p>
        </w:tc>
      </w:tr>
      <w:tr>
        <w:trPr>
          <w:cantSplit w:val="1"/>
          <w:tblHeader w:val="0"/>
        </w:trPr>
        <w:tc>
          <w:tcPr/>
          <w:p w:rsidR="00000000" w:rsidDel="00000000" w:rsidP="00000000" w:rsidRDefault="00000000" w:rsidRPr="00000000" w14:paraId="0000002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w:t>
            </w:r>
          </w:p>
        </w:tc>
        <w:tc>
          <w:tcPr>
            <w:vAlign w:val="center"/>
          </w:tcPr>
          <w:p w:rsidR="00000000" w:rsidDel="00000000" w:rsidP="00000000" w:rsidRDefault="00000000" w:rsidRPr="00000000" w14:paraId="00000021">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Venue- office space:</w:t>
            </w:r>
          </w:p>
          <w:p w:rsidR="00000000" w:rsidDel="00000000" w:rsidP="00000000" w:rsidRDefault="00000000" w:rsidRPr="00000000" w14:paraId="00000022">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w:t>
              <w:tab/>
              <w:t xml:space="preserve">A minimum of </w:t>
            </w:r>
            <w:r w:rsidDel="00000000" w:rsidR="00000000" w:rsidRPr="00000000">
              <w:rPr>
                <w:rFonts w:ascii="Times New Roman" w:cs="Times New Roman" w:eastAsia="Times New Roman" w:hAnsi="Times New Roman"/>
                <w:b w:val="1"/>
                <w:sz w:val="22"/>
                <w:szCs w:val="22"/>
                <w:rtl w:val="0"/>
              </w:rPr>
              <w:t xml:space="preserve">100 square meters</w:t>
            </w:r>
            <w:r w:rsidDel="00000000" w:rsidR="00000000" w:rsidRPr="00000000">
              <w:rPr>
                <w:rFonts w:ascii="Times New Roman" w:cs="Times New Roman" w:eastAsia="Times New Roman" w:hAnsi="Times New Roman"/>
                <w:b w:val="1"/>
                <w:sz w:val="22"/>
                <w:szCs w:val="22"/>
                <w:rtl w:val="0"/>
              </w:rPr>
              <w:t xml:space="preserve"> to comfortably accommodate 6 people, with sufficient room for workstations and movement.</w:t>
            </w:r>
          </w:p>
          <w:p w:rsidR="00000000" w:rsidDel="00000000" w:rsidP="00000000" w:rsidRDefault="00000000" w:rsidRPr="00000000" w14:paraId="00000023">
            <w:pPr>
              <w:spacing w:after="0" w:before="40" w:lineRule="auto"/>
              <w:ind w:left="207" w:firstLine="0"/>
              <w:rPr>
                <w:rFonts w:ascii="Times New Roman" w:cs="Times New Roman" w:eastAsia="Times New Roman" w:hAnsi="Times New Roman"/>
                <w:b w:val="1"/>
                <w:sz w:val="22"/>
                <w:szCs w:val="22"/>
              </w:rPr>
            </w:pPr>
            <w:bookmarkStart w:colFirst="0" w:colLast="0" w:name="_heading=h.3vrywndt42al" w:id="2"/>
            <w:bookmarkEnd w:id="2"/>
            <w:r w:rsidDel="00000000" w:rsidR="00000000" w:rsidRPr="00000000">
              <w:rPr>
                <w:rFonts w:ascii="Times New Roman" w:cs="Times New Roman" w:eastAsia="Times New Roman" w:hAnsi="Times New Roman"/>
                <w:b w:val="1"/>
                <w:sz w:val="22"/>
                <w:szCs w:val="22"/>
                <w:rtl w:val="0"/>
              </w:rPr>
              <w:t xml:space="preserve">-</w:t>
              <w:tab/>
              <w:t xml:space="preserve">Ideally located in a central or well-connected area, close to public transportation options (metro, bus, etc.) such as  </w:t>
            </w:r>
            <w:r w:rsidDel="00000000" w:rsidR="00000000" w:rsidRPr="00000000">
              <w:rPr>
                <w:rFonts w:ascii="Times New Roman" w:cs="Times New Roman" w:eastAsia="Times New Roman" w:hAnsi="Times New Roman"/>
                <w:b w:val="1"/>
                <w:sz w:val="22"/>
                <w:szCs w:val="22"/>
                <w:rtl w:val="0"/>
              </w:rPr>
              <w:t xml:space="preserve">Alsancak and Konak districts</w:t>
            </w:r>
          </w:p>
          <w:p w:rsidR="00000000" w:rsidDel="00000000" w:rsidP="00000000" w:rsidRDefault="00000000" w:rsidRPr="00000000" w14:paraId="00000024">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w:t>
              <w:tab/>
              <w:t xml:space="preserve">At least 1 separate meeting room for 8-10 people.</w:t>
            </w:r>
          </w:p>
          <w:p w:rsidR="00000000" w:rsidDel="00000000" w:rsidP="00000000" w:rsidRDefault="00000000" w:rsidRPr="00000000" w14:paraId="00000025">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w:t>
              <w:tab/>
              <w:t xml:space="preserve">2 toilet facilities (optional but preferable)</w:t>
            </w:r>
          </w:p>
          <w:p w:rsidR="00000000" w:rsidDel="00000000" w:rsidP="00000000" w:rsidRDefault="00000000" w:rsidRPr="00000000" w14:paraId="00000026">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w:t>
              <w:tab/>
              <w:t xml:space="preserve">At least 2 separate offices</w:t>
            </w:r>
          </w:p>
          <w:p w:rsidR="00000000" w:rsidDel="00000000" w:rsidP="00000000" w:rsidRDefault="00000000" w:rsidRPr="00000000" w14:paraId="00000027">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w:t>
              <w:tab/>
              <w:t xml:space="preserve">1 parking places (optional but preferable)</w:t>
            </w:r>
          </w:p>
          <w:p w:rsidR="00000000" w:rsidDel="00000000" w:rsidP="00000000" w:rsidRDefault="00000000" w:rsidRPr="00000000" w14:paraId="00000028">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Reception area (optional but preferable)</w:t>
            </w:r>
          </w:p>
          <w:p w:rsidR="00000000" w:rsidDel="00000000" w:rsidP="00000000" w:rsidRDefault="00000000" w:rsidRPr="00000000" w14:paraId="00000029">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Kitchenette space or area designated for a break room (to put water, small fridge, microwave, etc.)</w:t>
            </w:r>
          </w:p>
          <w:p w:rsidR="00000000" w:rsidDel="00000000" w:rsidP="00000000" w:rsidRDefault="00000000" w:rsidRPr="00000000" w14:paraId="0000002A">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Good natural light and provision for artificial lighting</w:t>
            </w:r>
          </w:p>
          <w:p w:rsidR="00000000" w:rsidDel="00000000" w:rsidP="00000000" w:rsidRDefault="00000000" w:rsidRPr="00000000" w14:paraId="0000002B">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Ready for immediate occupancy or in a move-in condition</w:t>
            </w:r>
          </w:p>
          <w:p w:rsidR="00000000" w:rsidDel="00000000" w:rsidP="00000000" w:rsidRDefault="00000000" w:rsidRPr="00000000" w14:paraId="0000002C">
            <w:pPr>
              <w:spacing w:after="0" w:before="40" w:lineRule="auto"/>
              <w:ind w:left="20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Utilities (heating, water, electricity) either included or clearly outlined in the lease agreement</w:t>
            </w:r>
          </w:p>
        </w:tc>
        <w:tc>
          <w:tcPr>
            <w:vAlign w:val="center"/>
          </w:tcPr>
          <w:p w:rsidR="00000000" w:rsidDel="00000000" w:rsidP="00000000" w:rsidRDefault="00000000" w:rsidRPr="00000000" w14:paraId="0000002D">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2E">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2F">
            <w:pPr>
              <w:tabs>
                <w:tab w:val="left" w:leader="none" w:pos="729"/>
              </w:tabs>
              <w:jc w:val="center"/>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030">
      <w:pPr>
        <w:rPr>
          <w:rFonts w:ascii="Times New Roman" w:cs="Times New Roman" w:eastAsia="Times New Roman" w:hAnsi="Times New Roman"/>
          <w:sz w:val="22"/>
          <w:szCs w:val="22"/>
        </w:rPr>
      </w:pPr>
      <w:r w:rsidDel="00000000" w:rsidR="00000000" w:rsidRPr="00000000">
        <w:rPr>
          <w:rtl w:val="0"/>
        </w:rPr>
      </w:r>
    </w:p>
    <w:sectPr>
      <w:footerReference r:id="rId7" w:type="default"/>
      <w:footerReference r:id="rId8" w:type="first"/>
      <w:pgSz w:h="11906" w:w="16838" w:orient="landscape"/>
      <w:pgMar w:bottom="1418" w:top="851"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37" w:hanging="17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SE"/>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72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2880" w:hanging="360"/>
    </w:pPr>
    <w:rPr>
      <w:b w:val="1"/>
      <w:sz w:val="24"/>
      <w:szCs w:val="24"/>
    </w:rPr>
  </w:style>
  <w:style w:type="paragraph" w:styleId="Heading5">
    <w:name w:val="heading 5"/>
    <w:basedOn w:val="Normal"/>
    <w:next w:val="Normal"/>
    <w:pPr>
      <w:spacing w:after="60" w:before="240" w:lineRule="auto"/>
      <w:ind w:left="3600"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rsid w:val="00301346"/>
    <w:rPr>
      <w:snapToGrid w:val="0"/>
      <w:lang w:eastAsia="en-US" w:val="sv-SE"/>
    </w:rPr>
  </w:style>
  <w:style w:type="paragraph" w:styleId="Balk1">
    <w:name w:val="heading 1"/>
    <w:basedOn w:val="Normal"/>
    <w:next w:val="Normal"/>
    <w:qFormat w:val="1"/>
    <w:pPr>
      <w:keepNext w:val="1"/>
      <w:numPr>
        <w:numId w:val="2"/>
      </w:numPr>
      <w:tabs>
        <w:tab w:val="right" w:pos="567"/>
      </w:tabs>
      <w:spacing w:after="240" w:before="240"/>
      <w:jc w:val="both"/>
      <w:outlineLvl w:val="0"/>
    </w:pPr>
    <w:rPr>
      <w:b w:val="1"/>
      <w:lang w:val="fr-BE"/>
    </w:rPr>
  </w:style>
  <w:style w:type="paragraph" w:styleId="Balk2">
    <w:name w:val="heading 2"/>
    <w:basedOn w:val="Normal"/>
    <w:next w:val="Normal"/>
    <w:qFormat w:val="1"/>
    <w:pPr>
      <w:keepNext w:val="1"/>
      <w:outlineLvl w:val="1"/>
    </w:pPr>
    <w:rPr>
      <w:lang w:val="fr-BE"/>
    </w:rPr>
  </w:style>
  <w:style w:type="paragraph" w:styleId="Balk3">
    <w:name w:val="heading 3"/>
    <w:basedOn w:val="Normal"/>
    <w:next w:val="Normal"/>
    <w:qFormat w:val="1"/>
    <w:pPr>
      <w:keepNext w:val="1"/>
      <w:framePr w:lines="0" w:vSpace="181" w:hSpace="181" w:wrap="auto" w:hAnchor="text" w:vAnchor="text" w:y="1"/>
      <w:outlineLvl w:val="2"/>
    </w:pPr>
    <w:rPr>
      <w:lang w:val="en-GB"/>
    </w:rPr>
  </w:style>
  <w:style w:type="paragraph" w:styleId="Balk4">
    <w:name w:val="heading 4"/>
    <w:basedOn w:val="Normal"/>
    <w:next w:val="Normal"/>
    <w:qFormat w:val="1"/>
    <w:pPr>
      <w:keepNext w:val="1"/>
      <w:numPr>
        <w:ilvl w:val="3"/>
        <w:numId w:val="2"/>
      </w:numPr>
      <w:spacing w:after="60" w:before="240"/>
      <w:outlineLvl w:val="3"/>
    </w:pPr>
    <w:rPr>
      <w:b w:val="1"/>
      <w:sz w:val="24"/>
    </w:rPr>
  </w:style>
  <w:style w:type="paragraph" w:styleId="Balk5">
    <w:name w:val="heading 5"/>
    <w:basedOn w:val="Normal"/>
    <w:next w:val="Normal"/>
    <w:qFormat w:val="1"/>
    <w:pPr>
      <w:numPr>
        <w:ilvl w:val="4"/>
        <w:numId w:val="2"/>
      </w:numPr>
      <w:spacing w:after="60" w:before="240"/>
      <w:outlineLvl w:val="4"/>
    </w:pPr>
    <w:rPr>
      <w:sz w:val="22"/>
    </w:rPr>
  </w:style>
  <w:style w:type="paragraph" w:styleId="Balk6">
    <w:name w:val="heading 6"/>
    <w:basedOn w:val="Normal"/>
    <w:next w:val="Normal"/>
    <w:qFormat w:val="1"/>
    <w:pPr>
      <w:numPr>
        <w:ilvl w:val="5"/>
        <w:numId w:val="2"/>
      </w:numPr>
      <w:tabs>
        <w:tab w:val="num" w:pos="1152"/>
      </w:tabs>
      <w:spacing w:after="60" w:before="240"/>
      <w:ind w:left="1152" w:hanging="1152"/>
      <w:outlineLvl w:val="5"/>
    </w:pPr>
    <w:rPr>
      <w:i w:val="1"/>
      <w:sz w:val="22"/>
    </w:rPr>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KonuBal">
    <w:name w:val="Title"/>
    <w:basedOn w:val="Normal"/>
    <w:qFormat w:val="1"/>
    <w:pPr>
      <w:jc w:val="center"/>
    </w:pPr>
    <w:rPr>
      <w:b w:val="1"/>
      <w:sz w:val="28"/>
      <w:lang w:val="fr-BE"/>
    </w:rPr>
  </w:style>
  <w:style w:type="paragraph" w:styleId="Altyaz">
    <w:name w:val="Subtitle"/>
    <w:basedOn w:val="Normal"/>
    <w:next w:val="Normal"/>
    <w:pPr>
      <w:jc w:val="center"/>
    </w:pPr>
    <w:rPr>
      <w:b w:val="1"/>
      <w:sz w:val="28"/>
      <w:szCs w:val="28"/>
    </w:rPr>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semiHidden w:val="1"/>
    <w:rPr>
      <w:lang w:val="fr-FR"/>
    </w:rPr>
  </w:style>
  <w:style w:type="character" w:styleId="DipnotBavurusu">
    <w:name w:val="footnote reference"/>
    <w:semiHidden w:val="1"/>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B25580"/>
    <w:rPr>
      <w:rFonts w:ascii="Tahoma" w:cs="Tahoma" w:hAnsi="Tahoma"/>
      <w:sz w:val="16"/>
      <w:szCs w:val="16"/>
    </w:rPr>
  </w:style>
  <w:style w:type="character" w:styleId="AklamaBavurusu">
    <w:name w:val="annotation reference"/>
    <w:rsid w:val="00CF7AAC"/>
    <w:rPr>
      <w:sz w:val="16"/>
      <w:szCs w:val="16"/>
    </w:rPr>
  </w:style>
  <w:style w:type="paragraph" w:styleId="AklamaMetni">
    <w:name w:val="annotation text"/>
    <w:basedOn w:val="Normal"/>
    <w:link w:val="AklamaMetniChar"/>
    <w:rsid w:val="00CF7AAC"/>
  </w:style>
  <w:style w:type="character" w:styleId="AklamaMetniChar" w:customStyle="1">
    <w:name w:val="Açıklama Metni Char"/>
    <w:link w:val="AklamaMetni"/>
    <w:rsid w:val="00CF7AAC"/>
    <w:rPr>
      <w:rFonts w:ascii="Arial" w:hAnsi="Arial"/>
      <w:snapToGrid w:val="0"/>
      <w:lang w:eastAsia="en-US" w:val="sv-SE"/>
    </w:rPr>
  </w:style>
  <w:style w:type="paragraph" w:styleId="AklamaKonusu">
    <w:name w:val="annotation subject"/>
    <w:basedOn w:val="AklamaMetni"/>
    <w:next w:val="AklamaMetni"/>
    <w:link w:val="AklamaKonusuChar"/>
    <w:rsid w:val="00CF7AAC"/>
    <w:rPr>
      <w:b w:val="1"/>
      <w:bCs w:val="1"/>
    </w:rPr>
  </w:style>
  <w:style w:type="character" w:styleId="AklamaKonusuChar" w:customStyle="1">
    <w:name w:val="Açıklama Konusu Char"/>
    <w:link w:val="AklamaKonusu"/>
    <w:rsid w:val="00CF7AAC"/>
    <w:rPr>
      <w:rFonts w:ascii="Arial" w:hAnsi="Arial"/>
      <w:b w:val="1"/>
      <w:bCs w:val="1"/>
      <w:snapToGrid w:val="0"/>
      <w:lang w:eastAsia="en-US" w:val="sv-SE"/>
    </w:rPr>
  </w:style>
  <w:style w:type="paragraph" w:styleId="Dzeltme">
    <w:name w:val="Revision"/>
    <w:hidden w:val="1"/>
    <w:uiPriority w:val="99"/>
    <w:semiHidden w:val="1"/>
    <w:rsid w:val="00962EB5"/>
    <w:rPr>
      <w:snapToGrid w:val="0"/>
      <w:lang w:eastAsia="en-US" w:val="sv-SE"/>
    </w:rPr>
  </w:style>
  <w:style w:type="paragraph" w:styleId="ListeParagraf">
    <w:name w:val="List Paragraph"/>
    <w:basedOn w:val="Normal"/>
    <w:uiPriority w:val="34"/>
    <w:qFormat w:val="1"/>
    <w:rsid w:val="004413DE"/>
    <w:pPr>
      <w:ind w:left="720"/>
      <w:contextualSpacing w:val="1"/>
    </w:pPr>
  </w:style>
  <w:style w:type="table" w:styleId="a"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yIl4eX626GKpAq/LzuMuMs1zsQ==">CgMxLjAyCGguZ2pkZ3hzMgloLjMwajB6bGwyDmguM3ZyeXduZHQ0MmFsOABqRQo1c3VnZ2VzdElkSW1wb3J0NmQ1NDA3MjUtZWRkYy00NmZmLTkxZTktZTQxMzM5NWMwMTkwXzMSDFdpbmRvd3MgVXNlcmpFCjVzdWdnZXN0SWRJbXBvcnQ2ZDU0MDcyNS1lZGRjLTQ2ZmYtOTFlOS1lNDEzMzk1YzAxOTBfNBIMV2luZG93cyBVc2VyakUKNXN1Z2dlc3RJZEltcG9ydDZkNTQwNzI1LWVkZGMtNDZmZi05MWU5LWU0MTMzOTVjMDE5MF8xEgxXaW5kb3dzIFVzZXJyITF2Y1lqUFNUTWpNWm1LRnFBOVFmazk0N21JODBNU28x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2025-02-18T07:23:00Z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