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SERVICE CONTRACT NOTICE</w:t>
      </w:r>
    </w:p>
    <w:p w:rsidR="00000000" w:rsidDel="00000000" w:rsidP="00000000" w:rsidRDefault="00000000" w:rsidRPr="00000000" w14:paraId="00000002">
      <w:pPr>
        <w:ind w:left="709" w:hanging="349"/>
        <w:jc w:val="center"/>
        <w:rPr>
          <w:b w:val="1"/>
          <w:color w:val="000000"/>
          <w:sz w:val="28"/>
          <w:szCs w:val="28"/>
        </w:rPr>
      </w:pPr>
      <w:r w:rsidDel="00000000" w:rsidR="00000000" w:rsidRPr="00000000">
        <w:rPr>
          <w:b w:val="1"/>
          <w:color w:val="000000"/>
          <w:sz w:val="28"/>
          <w:szCs w:val="28"/>
          <w:rtl w:val="0"/>
        </w:rPr>
        <w:t xml:space="preserve">&lt;Cluster Experts for the purposes of Project Implementation - EU Support to REDI Phase II: Advancing Roma Entrepreneurs in the Western Balkans and Türkiye&gt;</w:t>
        <w:br w:type="textWrapping"/>
        <w:t xml:space="preserve">&lt;Location – Türkiye, İzmir &amp; Edirne including all districts&gt;</w:t>
      </w:r>
    </w:p>
    <w:p w:rsidR="00000000" w:rsidDel="00000000" w:rsidP="00000000" w:rsidRDefault="00000000" w:rsidRPr="00000000" w14:paraId="00000003">
      <w:pPr>
        <w:ind w:left="709" w:hanging="349"/>
        <w:jc w:val="center"/>
        <w:rPr>
          <w:b w:val="1"/>
          <w:sz w:val="22"/>
          <w:szCs w:val="22"/>
        </w:rPr>
      </w:pPr>
      <w:r w:rsidDel="00000000" w:rsidR="00000000" w:rsidRPr="00000000">
        <w:rPr>
          <w:rtl w:val="0"/>
        </w:rPr>
      </w:r>
    </w:p>
    <w:p w:rsidR="00000000" w:rsidDel="00000000" w:rsidP="00000000" w:rsidRDefault="00000000" w:rsidRPr="00000000" w14:paraId="0000000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w:t>
      </w:r>
      <w:r w:rsidDel="00000000" w:rsidR="00000000" w:rsidRPr="00000000">
        <w:rPr>
          <w:rtl w:val="0"/>
        </w:rPr>
      </w:r>
    </w:p>
    <w:p w:rsidR="00000000" w:rsidDel="00000000" w:rsidP="00000000" w:rsidRDefault="00000000" w:rsidRPr="00000000" w14:paraId="00000005">
      <w:pPr>
        <w:ind w:left="709" w:hanging="349"/>
        <w:rPr>
          <w:b w:val="1"/>
          <w:sz w:val="22"/>
          <w:szCs w:val="22"/>
        </w:rPr>
      </w:pPr>
      <w:bookmarkStart w:colFirst="0" w:colLast="0" w:name="_heading=h.goevxcnb3it0" w:id="0"/>
      <w:bookmarkEnd w:id="0"/>
      <w:r w:rsidDel="00000000" w:rsidR="00000000" w:rsidRPr="00000000">
        <w:rPr>
          <w:b w:val="1"/>
          <w:sz w:val="22"/>
          <w:szCs w:val="22"/>
          <w:rtl w:val="0"/>
        </w:rPr>
        <w:t xml:space="preserve">IPA III/2024/457-197/TK-010</w:t>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Procedure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360" w:right="360" w:firstLine="0"/>
        <w:jc w:val="both"/>
        <w:rPr>
          <w:b w:val="1"/>
          <w:color w:val="000000"/>
          <w:sz w:val="22"/>
          <w:szCs w:val="22"/>
        </w:rPr>
      </w:pPr>
      <w:r w:rsidDel="00000000" w:rsidR="00000000" w:rsidRPr="00000000">
        <w:rPr>
          <w:color w:val="000000"/>
          <w:sz w:val="22"/>
          <w:szCs w:val="22"/>
          <w:rtl w:val="0"/>
        </w:rPr>
        <w:t xml:space="preserve">Single.</w:t>
      </w:r>
      <w:r w:rsidDel="00000000" w:rsidR="00000000" w:rsidRPr="00000000">
        <w:rPr>
          <w:b w:val="1"/>
          <w:color w:val="000000"/>
          <w:sz w:val="22"/>
          <w:szCs w:val="22"/>
          <w:rtl w:val="0"/>
        </w:rPr>
        <w:tab/>
      </w:r>
    </w:p>
    <w:p w:rsidR="00000000" w:rsidDel="00000000" w:rsidP="00000000" w:rsidRDefault="00000000" w:rsidRPr="00000000" w14:paraId="000000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36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Programme title</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927" w:right="357" w:hanging="567"/>
        <w:rPr>
          <w:color w:val="000000"/>
        </w:rPr>
      </w:pPr>
      <w:r w:rsidDel="00000000" w:rsidR="00000000" w:rsidRPr="00000000">
        <w:rPr>
          <w:color w:val="000000"/>
          <w:rtl w:val="0"/>
        </w:rPr>
        <w:t xml:space="preserve">EU Support to REDI Phase II: Advancing Roma Entrepreneurs in the Western Balkans and Türkiye </w:t>
      </w:r>
    </w:p>
    <w:p w:rsidR="00000000" w:rsidDel="00000000" w:rsidP="00000000" w:rsidRDefault="00000000" w:rsidRPr="00000000" w14:paraId="0000000A">
      <w:pPr>
        <w:ind w:left="709" w:hanging="349"/>
        <w:rPr>
          <w:sz w:val="22"/>
          <w:szCs w:val="22"/>
        </w:rPr>
      </w:pPr>
      <w:r w:rsidDel="00000000" w:rsidR="00000000" w:rsidRPr="00000000">
        <w:rPr>
          <w:b w:val="1"/>
          <w:sz w:val="22"/>
          <w:szCs w:val="22"/>
          <w:rtl w:val="0"/>
        </w:rPr>
        <w:t xml:space="preserve">4. </w:t>
        <w:tab/>
        <w:t xml:space="preserve">Financing</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Budget Line: 5.13. </w:t>
      </w:r>
    </w:p>
    <w:p w:rsidR="00000000" w:rsidDel="00000000" w:rsidP="00000000" w:rsidRDefault="00000000" w:rsidRPr="00000000" w14:paraId="0000000C">
      <w:pPr>
        <w:ind w:left="709" w:hanging="349"/>
        <w:rPr>
          <w:sz w:val="22"/>
          <w:szCs w:val="22"/>
        </w:rPr>
      </w:pPr>
      <w:r w:rsidDel="00000000" w:rsidR="00000000" w:rsidRPr="00000000">
        <w:rPr>
          <w:b w:val="1"/>
          <w:sz w:val="22"/>
          <w:szCs w:val="22"/>
          <w:rtl w:val="0"/>
        </w:rPr>
        <w:t xml:space="preserve">5. </w:t>
        <w:tab/>
        <w:t xml:space="preserve">Contracting authority</w:t>
      </w:r>
      <w:r w:rsidDel="00000000" w:rsidR="00000000" w:rsidRPr="00000000">
        <w:rPr>
          <w:rtl w:val="0"/>
        </w:rPr>
      </w:r>
    </w:p>
    <w:p w:rsidR="00000000" w:rsidDel="00000000" w:rsidP="00000000" w:rsidRDefault="00000000" w:rsidRPr="00000000" w14:paraId="0000000D">
      <w:pPr>
        <w:ind w:left="360" w:firstLine="0"/>
        <w:rPr/>
      </w:pPr>
      <w:bookmarkStart w:colFirst="0" w:colLast="0" w:name="_heading=h.60bs1134zo" w:id="1"/>
      <w:bookmarkEnd w:id="1"/>
      <w:r w:rsidDel="00000000" w:rsidR="00000000" w:rsidRPr="00000000">
        <w:rPr>
          <w:sz w:val="22"/>
          <w:szCs w:val="22"/>
          <w:rtl w:val="0"/>
        </w:rPr>
        <w:t xml:space="preserve">Roma Entrepreneurship Development Initiative REDI Türkiye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17"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1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E">
      <w:pPr>
        <w:jc w:val="center"/>
        <w:rPr>
          <w:b w:val="1"/>
          <w:sz w:val="28"/>
          <w:szCs w:val="28"/>
        </w:rPr>
      </w:pPr>
      <w:r w:rsidDel="00000000" w:rsidR="00000000" w:rsidRPr="00000000">
        <w:rPr>
          <w:rtl w:val="0"/>
        </w:rPr>
      </w:r>
    </w:p>
    <w:p w:rsidR="00000000" w:rsidDel="00000000" w:rsidP="00000000" w:rsidRDefault="00000000" w:rsidRPr="00000000" w14:paraId="0000000F">
      <w:pPr>
        <w:jc w:val="center"/>
        <w:rPr>
          <w:b w:val="1"/>
          <w:sz w:val="28"/>
          <w:szCs w:val="28"/>
        </w:rPr>
      </w:pPr>
      <w:r w:rsidDel="00000000" w:rsidR="00000000" w:rsidRPr="00000000">
        <w:rPr>
          <w:b w:val="1"/>
          <w:sz w:val="28"/>
          <w:szCs w:val="28"/>
          <w:rtl w:val="0"/>
        </w:rPr>
        <w:t xml:space="preserve">CONTRACT SPECIFICATION</w:t>
      </w:r>
    </w:p>
    <w:p w:rsidR="00000000" w:rsidDel="00000000" w:rsidP="00000000" w:rsidRDefault="00000000" w:rsidRPr="00000000" w14:paraId="00000010">
      <w:pPr>
        <w:jc w:val="center"/>
        <w:rPr>
          <w:b w:val="1"/>
          <w:sz w:val="28"/>
          <w:szCs w:val="28"/>
        </w:rPr>
      </w:pPr>
      <w:r w:rsidDel="00000000" w:rsidR="00000000" w:rsidRPr="00000000">
        <w:rPr>
          <w:rtl w:val="0"/>
        </w:rPr>
      </w:r>
    </w:p>
    <w:p w:rsidR="00000000" w:rsidDel="00000000" w:rsidP="00000000" w:rsidRDefault="00000000" w:rsidRPr="00000000" w14:paraId="00000011">
      <w:pPr>
        <w:ind w:left="709" w:hanging="349"/>
        <w:rPr>
          <w:sz w:val="22"/>
          <w:szCs w:val="22"/>
        </w:rPr>
      </w:pPr>
      <w:r w:rsidDel="00000000" w:rsidR="00000000" w:rsidRPr="00000000">
        <w:rPr>
          <w:b w:val="1"/>
          <w:sz w:val="22"/>
          <w:szCs w:val="22"/>
          <w:rtl w:val="0"/>
        </w:rPr>
        <w:t xml:space="preserve">6. </w:t>
        <w:tab/>
        <w:t xml:space="preserve">Nature of contract</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Global Price</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rtl w:val="0"/>
        </w:rPr>
      </w:r>
    </w:p>
    <w:p w:rsidR="00000000" w:rsidDel="00000000" w:rsidP="00000000" w:rsidRDefault="00000000" w:rsidRPr="00000000" w14:paraId="00000014">
      <w:pPr>
        <w:ind w:left="709" w:hanging="352"/>
        <w:rPr>
          <w:b w:val="1"/>
          <w:sz w:val="22"/>
          <w:szCs w:val="22"/>
        </w:rPr>
      </w:pPr>
      <w:r w:rsidDel="00000000" w:rsidR="00000000" w:rsidRPr="00000000">
        <w:rPr>
          <w:b w:val="1"/>
          <w:sz w:val="22"/>
          <w:szCs w:val="22"/>
          <w:rtl w:val="0"/>
        </w:rPr>
        <w:t xml:space="preserve">7. </w:t>
        <w:tab/>
        <w:t xml:space="preserve">Contract description</w:t>
      </w:r>
    </w:p>
    <w:p w:rsidR="00000000" w:rsidDel="00000000" w:rsidP="00000000" w:rsidRDefault="00000000" w:rsidRPr="00000000" w14:paraId="00000015">
      <w:pPr>
        <w:ind w:left="709" w:hanging="352"/>
        <w:rPr>
          <w:sz w:val="22"/>
          <w:szCs w:val="2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The objective of this assignment is to support the formation, structuring, and operationalization of business clusters in selected regions or sectors. The experts will ensure that clusters are inclusive, strategically positioned, and capable of delivering long-term economic and social value.</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p>
    <w:p w:rsidR="00000000" w:rsidDel="00000000" w:rsidP="00000000" w:rsidRDefault="00000000" w:rsidRPr="00000000" w14:paraId="00000018">
      <w:pPr>
        <w:ind w:left="709" w:hanging="349"/>
        <w:rPr>
          <w:sz w:val="22"/>
          <w:szCs w:val="22"/>
        </w:rPr>
      </w:pPr>
      <w:r w:rsidDel="00000000" w:rsidR="00000000" w:rsidRPr="00000000">
        <w:rPr>
          <w:b w:val="1"/>
          <w:sz w:val="22"/>
          <w:szCs w:val="22"/>
          <w:rtl w:val="0"/>
        </w:rPr>
        <w:t xml:space="preserve">8. </w:t>
        <w:tab/>
        <w:t xml:space="preserve">Number and titles of lots</w:t>
      </w:r>
      <w:r w:rsidDel="00000000" w:rsidR="00000000" w:rsidRPr="00000000">
        <w:rPr>
          <w:rtl w:val="0"/>
        </w:rPr>
      </w:r>
    </w:p>
    <w:p w:rsidR="00000000" w:rsidDel="00000000" w:rsidP="00000000" w:rsidRDefault="00000000" w:rsidRPr="00000000" w14:paraId="00000019">
      <w:pPr>
        <w:ind w:left="709" w:hanging="349"/>
        <w:rPr>
          <w:sz w:val="22"/>
          <w:szCs w:val="22"/>
        </w:rPr>
      </w:pPr>
      <w:r w:rsidDel="00000000" w:rsidR="00000000" w:rsidRPr="00000000">
        <w:rPr>
          <w:sz w:val="22"/>
          <w:szCs w:val="22"/>
          <w:rtl w:val="0"/>
        </w:rPr>
        <w:t xml:space="preserve">Not divided into lots.</w:t>
      </w:r>
    </w:p>
    <w:p w:rsidR="00000000" w:rsidDel="00000000" w:rsidP="00000000" w:rsidRDefault="00000000" w:rsidRPr="00000000" w14:paraId="0000001A">
      <w:pPr>
        <w:ind w:left="709" w:hanging="349"/>
        <w:rPr>
          <w:sz w:val="22"/>
          <w:szCs w:val="22"/>
        </w:rPr>
      </w:pPr>
      <w:r w:rsidDel="00000000" w:rsidR="00000000" w:rsidRPr="00000000">
        <w:rPr>
          <w:rtl w:val="0"/>
        </w:rPr>
      </w:r>
    </w:p>
    <w:p w:rsidR="00000000" w:rsidDel="00000000" w:rsidP="00000000" w:rsidRDefault="00000000" w:rsidRPr="00000000" w14:paraId="0000001B">
      <w:pPr>
        <w:ind w:left="709" w:hanging="349"/>
        <w:rPr>
          <w:b w:val="1"/>
          <w:sz w:val="22"/>
          <w:szCs w:val="22"/>
        </w:rPr>
      </w:pPr>
      <w:r w:rsidDel="00000000" w:rsidR="00000000" w:rsidRPr="00000000">
        <w:rPr>
          <w:b w:val="1"/>
          <w:sz w:val="22"/>
          <w:szCs w:val="22"/>
          <w:rtl w:val="0"/>
        </w:rPr>
        <w:t xml:space="preserve">9. </w:t>
        <w:tab/>
        <w:t xml:space="preserve">Maximum budget</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EUR: </w:t>
      </w:r>
      <w:r w:rsidDel="00000000" w:rsidR="00000000" w:rsidRPr="00000000">
        <w:rPr>
          <w:sz w:val="22"/>
          <w:szCs w:val="22"/>
          <w:rtl w:val="0"/>
        </w:rPr>
        <w:t xml:space="preserve">1,400.00</w:t>
      </w:r>
      <w:r w:rsidDel="00000000" w:rsidR="00000000" w:rsidRPr="00000000">
        <w:rPr>
          <w:color w:val="000000"/>
          <w:sz w:val="22"/>
          <w:szCs w:val="22"/>
          <w:rtl w:val="0"/>
        </w:rPr>
        <w:t xml:space="preserve"> for till the end of the project. (€ 200.00 per a contract)</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21"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21"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16"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16"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0">
      <w:pPr>
        <w:jc w:val="center"/>
        <w:rPr>
          <w:sz w:val="28"/>
          <w:szCs w:val="28"/>
        </w:rPr>
      </w:pPr>
      <w:r w:rsidDel="00000000" w:rsidR="00000000" w:rsidRPr="00000000">
        <w:rPr>
          <w:b w:val="1"/>
          <w:sz w:val="28"/>
          <w:szCs w:val="28"/>
          <w:rtl w:val="0"/>
        </w:rPr>
        <w:t xml:space="preserve">CONDITIONS OF PARTICIPATION</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firstLine="426"/>
        <w:rPr>
          <w:b w:val="1"/>
          <w:color w:val="000000"/>
          <w:sz w:val="22"/>
          <w:szCs w:val="22"/>
        </w:rPr>
      </w:pPr>
      <w:r w:rsidDel="00000000" w:rsidR="00000000" w:rsidRPr="00000000">
        <w:rPr>
          <w:b w:val="1"/>
          <w:color w:val="000000"/>
          <w:sz w:val="22"/>
          <w:szCs w:val="22"/>
          <w:rtl w:val="0"/>
        </w:rPr>
        <w:t xml:space="preserve">10. Legal basis, eligibility and rules of origin</w:t>
      </w:r>
    </w:p>
    <w:p w:rsidR="00000000" w:rsidDel="00000000" w:rsidP="00000000" w:rsidRDefault="00000000" w:rsidRPr="00000000" w14:paraId="00000022">
      <w:pPr>
        <w:pBdr>
          <w:top w:space="0" w:sz="0" w:val="nil"/>
          <w:left w:space="0" w:sz="0" w:val="nil"/>
          <w:bottom w:space="0" w:sz="0" w:val="nil"/>
          <w:right w:space="0" w:sz="0" w:val="nil"/>
          <w:between w:space="0" w:sz="0" w:val="nil"/>
        </w:pBdr>
        <w:ind w:firstLine="426"/>
        <w:rPr>
          <w:b w:val="1"/>
          <w:color w:val="000000"/>
          <w:sz w:val="22"/>
          <w:szCs w:val="22"/>
        </w:rPr>
      </w:pPr>
      <w:r w:rsidDel="00000000" w:rsidR="00000000" w:rsidRPr="00000000">
        <w:rPr>
          <w:rtl w:val="0"/>
        </w:rPr>
      </w:r>
    </w:p>
    <w:p w:rsidR="00000000" w:rsidDel="00000000" w:rsidP="00000000" w:rsidRDefault="00000000" w:rsidRPr="00000000" w14:paraId="00000023">
      <w:pPr>
        <w:spacing w:after="0" w:lineRule="auto"/>
        <w:ind w:left="426" w:firstLine="0"/>
        <w:jc w:val="both"/>
        <w:rPr>
          <w:sz w:val="22"/>
          <w:szCs w:val="22"/>
        </w:rPr>
      </w:pPr>
      <w:r w:rsidDel="00000000" w:rsidR="00000000" w:rsidRPr="00000000">
        <w:rPr>
          <w:sz w:val="22"/>
          <w:szCs w:val="22"/>
          <w:rtl w:val="0"/>
        </w:rPr>
        <w:t xml:space="preserve">[For IPA III 2021/1529</w:t>
      </w:r>
      <w:r w:rsidDel="00000000" w:rsidR="00000000" w:rsidRPr="00000000">
        <w:rPr>
          <w:sz w:val="22"/>
          <w:szCs w:val="22"/>
          <w:vertAlign w:val="superscript"/>
        </w:rPr>
        <w:footnoteReference w:customMarkFollows="0" w:id="0"/>
      </w:r>
      <w:r w:rsidDel="00000000" w:rsidR="00000000" w:rsidRPr="00000000">
        <w:rPr>
          <w:sz w:val="22"/>
          <w:szCs w:val="22"/>
          <w:rtl w:val="0"/>
        </w:rPr>
        <w:t xml:space="preserve">:</w:t>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pacing w:after="0" w:before="0" w:lineRule="auto"/>
        <w:ind w:left="426" w:firstLine="0"/>
        <w:jc w:val="both"/>
        <w:rPr>
          <w:rFonts w:ascii="Quattrocento Sans" w:cs="Quattrocento Sans" w:eastAsia="Quattrocento Sans" w:hAnsi="Quattrocento Sans"/>
          <w:color w:val="000000"/>
          <w:sz w:val="22"/>
          <w:szCs w:val="22"/>
        </w:rPr>
      </w:pPr>
      <w:r w:rsidDel="00000000" w:rsidR="00000000" w:rsidRPr="00000000">
        <w:rPr>
          <w:color w:val="000000"/>
          <w:sz w:val="22"/>
          <w:szCs w:val="22"/>
          <w:rtl w:val="0"/>
        </w:rPr>
        <w:t xml:space="preserve">The legal basis of this procedure is &lt;Regulation (EU) No [1529] establishing the Instrument for Pre-accession Assistance (IPA III)&gt;. </w:t>
      </w:r>
      <w:r w:rsidDel="00000000" w:rsidR="00000000" w:rsidRPr="00000000">
        <w:rPr>
          <w:color w:val="000000"/>
          <w:rtl w:val="0"/>
        </w:rPr>
        <w:t xml:space="preserve">S</w:t>
      </w:r>
      <w:r w:rsidDel="00000000" w:rsidR="00000000" w:rsidRPr="00000000">
        <w:rPr>
          <w:color w:val="000000"/>
          <w:sz w:val="22"/>
          <w:szCs w:val="22"/>
          <w:rtl w:val="0"/>
        </w:rPr>
        <w:t xml:space="preserve">ee Annex A2 of the practical guide.</w:t>
      </w:r>
      <w:r w:rsidDel="00000000" w:rsidR="00000000" w:rsidRPr="00000000">
        <w:rPr>
          <w:rtl w:val="0"/>
        </w:rPr>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after="0" w:before="0" w:lineRule="auto"/>
        <w:ind w:left="426" w:firstLine="0"/>
        <w:jc w:val="both"/>
        <w:rPr>
          <w:color w:val="000000"/>
          <w:sz w:val="22"/>
          <w:szCs w:val="22"/>
        </w:rPr>
      </w:pPr>
      <w:r w:rsidDel="00000000" w:rsidR="00000000" w:rsidRPr="00000000">
        <w:rPr>
          <w:color w:val="000000"/>
          <w:sz w:val="22"/>
          <w:szCs w:val="22"/>
          <w:rtl w:val="0"/>
        </w:rPr>
        <w:t xml:space="preserve">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11 of Regulation (EU) No [1529]  establishing the Instrument for Pre-accession Assistance (IPA III). ]</w:t>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pacing w:after="0" w:before="0" w:lineRule="auto"/>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pacing w:after="0" w:before="0" w:lineRule="auto"/>
        <w:ind w:left="426" w:firstLine="0"/>
        <w:jc w:val="both"/>
        <w:rPr>
          <w:color w:val="000000"/>
          <w:sz w:val="22"/>
          <w:szCs w:val="22"/>
        </w:rPr>
      </w:pPr>
      <w:r w:rsidDel="00000000" w:rsidR="00000000" w:rsidRPr="00000000">
        <w:rPr>
          <w:color w:val="000000"/>
          <w:sz w:val="22"/>
          <w:szCs w:val="22"/>
          <w:rtl w:val="0"/>
        </w:rPr>
        <w:t xml:space="preserve">[Participation in this procurement procedure is open on equal terms to all natural and legal persons falling within the scope of the Treaties. </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0" w:before="0" w:lineRule="auto"/>
        <w:ind w:left="426" w:firstLine="0"/>
        <w:jc w:val="both"/>
        <w:rPr>
          <w:color w:val="000000"/>
          <w:sz w:val="22"/>
          <w:szCs w:val="22"/>
        </w:rPr>
      </w:pPr>
      <w:r w:rsidDel="00000000" w:rsidR="00000000" w:rsidRPr="00000000">
        <w:rPr>
          <w:rtl w:val="0"/>
        </w:rPr>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0" w:before="0" w:lineRule="auto"/>
        <w:ind w:left="426" w:firstLine="0"/>
        <w:jc w:val="both"/>
        <w:rPr>
          <w:rFonts w:ascii="Calibri" w:cs="Calibri" w:eastAsia="Calibri" w:hAnsi="Calibri"/>
          <w:color w:val="000000"/>
          <w:sz w:val="22"/>
          <w:szCs w:val="22"/>
        </w:rPr>
      </w:pPr>
      <w:r w:rsidDel="00000000" w:rsidR="00000000" w:rsidRPr="00000000">
        <w:rPr>
          <w:color w:val="000000"/>
          <w:sz w:val="22"/>
          <w:szCs w:val="22"/>
          <w:rtl w:val="0"/>
        </w:rPr>
        <w:t xml:space="preserve">Participation is also open to international organisations.]]</w:t>
      </w:r>
      <w:r w:rsidDel="00000000" w:rsidR="00000000" w:rsidRPr="00000000">
        <w:rPr>
          <w:rtl w:val="0"/>
        </w:rPr>
      </w:r>
    </w:p>
    <w:p w:rsidR="00000000" w:rsidDel="00000000" w:rsidP="00000000" w:rsidRDefault="00000000" w:rsidRPr="00000000" w14:paraId="0000002A">
      <w:pPr>
        <w:ind w:left="709" w:hanging="349"/>
        <w:rPr>
          <w:b w:val="1"/>
          <w:sz w:val="22"/>
          <w:szCs w:val="22"/>
        </w:rPr>
      </w:pPr>
      <w:r w:rsidDel="00000000" w:rsidR="00000000" w:rsidRPr="00000000">
        <w:rPr>
          <w:rtl w:val="0"/>
        </w:rPr>
      </w:r>
    </w:p>
    <w:p w:rsidR="00000000" w:rsidDel="00000000" w:rsidP="00000000" w:rsidRDefault="00000000" w:rsidRPr="00000000" w14:paraId="0000002B">
      <w:pPr>
        <w:ind w:left="709" w:hanging="349"/>
        <w:rPr>
          <w:sz w:val="22"/>
          <w:szCs w:val="22"/>
        </w:rPr>
      </w:pPr>
      <w:bookmarkStart w:colFirst="0" w:colLast="0" w:name="_heading=h.qitkqcf65pps" w:id="2"/>
      <w:bookmarkEnd w:id="2"/>
      <w:r w:rsidDel="00000000" w:rsidR="00000000" w:rsidRPr="00000000">
        <w:rPr>
          <w:b w:val="1"/>
          <w:sz w:val="22"/>
          <w:szCs w:val="22"/>
          <w:rtl w:val="0"/>
        </w:rPr>
        <w:t xml:space="preserve">11. </w:t>
        <w:tab/>
        <w:t xml:space="preserve">Number of tenders</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No more than one tender can be submitted by a natural or legal person whatever the form of participation (as an individual legal entity or as leader or member of a consortium submitting a tender).  In the event that a natural or legal person submits more than one tender, all tenders in which that person has participated will be excluded.</w:t>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rtl w:val="0"/>
        </w:rPr>
      </w:r>
    </w:p>
    <w:p w:rsidR="00000000" w:rsidDel="00000000" w:rsidP="00000000" w:rsidRDefault="00000000" w:rsidRPr="00000000" w14:paraId="0000002E">
      <w:pPr>
        <w:ind w:left="709" w:hanging="349"/>
        <w:rPr>
          <w:sz w:val="22"/>
          <w:szCs w:val="22"/>
        </w:rPr>
      </w:pPr>
      <w:r w:rsidDel="00000000" w:rsidR="00000000" w:rsidRPr="00000000">
        <w:rPr>
          <w:b w:val="1"/>
          <w:sz w:val="22"/>
          <w:szCs w:val="22"/>
          <w:rtl w:val="0"/>
        </w:rPr>
        <w:t xml:space="preserve">12. </w:t>
        <w:tab/>
        <w:t xml:space="preserve">Grounds for exclusion</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As part of the tender, tenderers must submit a signed declaration, included in the tender form, to the effect that they are not in any of the exclusion situations listed in Section 2.6.10.1. of the practical guide. </w:t>
      </w:r>
    </w:p>
    <w:p w:rsidR="00000000" w:rsidDel="00000000" w:rsidP="00000000" w:rsidRDefault="00000000" w:rsidRPr="00000000" w14:paraId="00000030">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Tenderer included in the lists of EU restrictive measures (see Section 2.4. of the PRAG) at the moment of the award decision cannot be awarded the contract. </w:t>
      </w:r>
    </w:p>
    <w:p w:rsidR="00000000" w:rsidDel="00000000" w:rsidP="00000000" w:rsidRDefault="00000000" w:rsidRPr="00000000" w14:paraId="00000031">
      <w:pPr>
        <w:ind w:left="709" w:hanging="349"/>
        <w:rPr>
          <w:sz w:val="22"/>
          <w:szCs w:val="22"/>
        </w:rPr>
      </w:pPr>
      <w:r w:rsidDel="00000000" w:rsidR="00000000" w:rsidRPr="00000000">
        <w:rPr>
          <w:b w:val="1"/>
          <w:sz w:val="22"/>
          <w:szCs w:val="22"/>
          <w:rtl w:val="0"/>
        </w:rPr>
        <w:t xml:space="preserve">13. </w:t>
        <w:tab/>
        <w:t xml:space="preserve">Sub-contracting</w:t>
      </w:r>
      <w:r w:rsidDel="00000000" w:rsidR="00000000" w:rsidRPr="00000000">
        <w:rPr>
          <w:rtl w:val="0"/>
        </w:rPr>
      </w:r>
    </w:p>
    <w:p w:rsidR="00000000" w:rsidDel="00000000" w:rsidP="00000000" w:rsidRDefault="00000000" w:rsidRPr="00000000" w14:paraId="00000032">
      <w:pPr>
        <w:ind w:left="709" w:hanging="349"/>
        <w:rPr>
          <w:sz w:val="22"/>
          <w:szCs w:val="22"/>
        </w:rPr>
      </w:pPr>
      <w:r w:rsidDel="00000000" w:rsidR="00000000" w:rsidRPr="00000000">
        <w:rPr>
          <w:sz w:val="22"/>
          <w:szCs w:val="22"/>
          <w:rtl w:val="0"/>
        </w:rPr>
        <w:t xml:space="preserve">Subcontracting is allowed.</w:t>
      </w:r>
    </w:p>
    <w:p w:rsidR="00000000" w:rsidDel="00000000" w:rsidP="00000000" w:rsidRDefault="00000000" w:rsidRPr="00000000" w14:paraId="00000033">
      <w:pPr>
        <w:keepNext w:val="1"/>
        <w:jc w:val="center"/>
        <w:rPr>
          <w:b w:val="1"/>
          <w:sz w:val="28"/>
          <w:szCs w:val="28"/>
        </w:rPr>
      </w:pPr>
      <w:r w:rsidDel="00000000" w:rsidR="00000000" w:rsidRPr="00000000">
        <w:rPr>
          <w:b w:val="1"/>
          <w:sz w:val="28"/>
          <w:szCs w:val="28"/>
          <w:rtl w:val="0"/>
        </w:rPr>
        <w:t xml:space="preserve">PROVISIONAL TIMETABLE</w:t>
      </w:r>
    </w:p>
    <w:p w:rsidR="00000000" w:rsidDel="00000000" w:rsidP="00000000" w:rsidRDefault="00000000" w:rsidRPr="00000000" w14:paraId="00000034">
      <w:pPr>
        <w:keepNext w:val="1"/>
        <w:jc w:val="center"/>
        <w:rPr>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18" name=""/>
                <a:graphic>
                  <a:graphicData uri="http://schemas.microsoft.com/office/word/2010/wordprocessingShape">
                    <wps:wsp>
                      <wps:cNvCnPr/>
                      <wps:spPr>
                        <a:xfrm>
                          <a:off x="2374200" y="3779682"/>
                          <a:ext cx="5943600" cy="636"/>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1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5">
      <w:pPr>
        <w:ind w:left="709" w:hanging="349"/>
        <w:rPr>
          <w:sz w:val="22"/>
          <w:szCs w:val="22"/>
        </w:rPr>
      </w:pPr>
      <w:r w:rsidDel="00000000" w:rsidR="00000000" w:rsidRPr="00000000">
        <w:rPr>
          <w:b w:val="1"/>
          <w:sz w:val="22"/>
          <w:szCs w:val="22"/>
          <w:rtl w:val="0"/>
        </w:rPr>
        <w:t xml:space="preserve">14. </w:t>
        <w:tab/>
        <w:t xml:space="preserve">Provisional commencement date of the contract</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color w:val="000000"/>
          <w:sz w:val="22"/>
          <w:szCs w:val="22"/>
          <w:rtl w:val="0"/>
        </w:rPr>
        <w:t xml:space="preserve">&lt; </w:t>
      </w:r>
      <w:r w:rsidDel="00000000" w:rsidR="00000000" w:rsidRPr="00000000">
        <w:rPr>
          <w:sz w:val="22"/>
          <w:szCs w:val="22"/>
          <w:rtl w:val="0"/>
        </w:rPr>
        <w:t xml:space="preserve">12</w:t>
      </w:r>
      <w:r w:rsidDel="00000000" w:rsidR="00000000" w:rsidRPr="00000000">
        <w:rPr>
          <w:color w:val="000000"/>
          <w:sz w:val="22"/>
          <w:szCs w:val="22"/>
          <w:rtl w:val="0"/>
        </w:rPr>
        <w:t xml:space="preserve">/</w:t>
      </w:r>
      <w:r w:rsidDel="00000000" w:rsidR="00000000" w:rsidRPr="00000000">
        <w:rPr>
          <w:sz w:val="22"/>
          <w:szCs w:val="22"/>
          <w:rtl w:val="0"/>
        </w:rPr>
        <w:t xml:space="preserve">10</w:t>
      </w:r>
      <w:r w:rsidDel="00000000" w:rsidR="00000000" w:rsidRPr="00000000">
        <w:rPr>
          <w:color w:val="000000"/>
          <w:sz w:val="22"/>
          <w:szCs w:val="22"/>
          <w:rtl w:val="0"/>
        </w:rPr>
        <w:t xml:space="preserve">/2025 &gt;</w:t>
      </w:r>
      <w:r w:rsidDel="00000000" w:rsidR="00000000" w:rsidRPr="00000000">
        <w:rPr>
          <w:rtl w:val="0"/>
        </w:rPr>
      </w:r>
    </w:p>
    <w:p w:rsidR="00000000" w:rsidDel="00000000" w:rsidP="00000000" w:rsidRDefault="00000000" w:rsidRPr="00000000" w14:paraId="00000037">
      <w:pPr>
        <w:ind w:left="709" w:hanging="349"/>
        <w:rPr>
          <w:sz w:val="22"/>
          <w:szCs w:val="22"/>
        </w:rPr>
      </w:pPr>
      <w:r w:rsidDel="00000000" w:rsidR="00000000" w:rsidRPr="00000000">
        <w:rPr>
          <w:b w:val="1"/>
          <w:sz w:val="22"/>
          <w:szCs w:val="22"/>
          <w:rtl w:val="0"/>
        </w:rPr>
        <w:t xml:space="preserve">15. </w:t>
        <w:tab/>
        <w:t xml:space="preserve">Implementation period of the tasks </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sz w:val="22"/>
          <w:szCs w:val="22"/>
          <w:rtl w:val="0"/>
        </w:rPr>
        <w:t xml:space="preserve">12.10</w:t>
      </w:r>
      <w:r w:rsidDel="00000000" w:rsidR="00000000" w:rsidRPr="00000000">
        <w:rPr>
          <w:color w:val="000000"/>
          <w:sz w:val="22"/>
          <w:szCs w:val="22"/>
          <w:rtl w:val="0"/>
        </w:rPr>
        <w:t xml:space="preserve">.2025 – 31.08.2027</w:t>
      </w:r>
    </w:p>
    <w:p w:rsidR="00000000" w:rsidDel="00000000" w:rsidP="00000000" w:rsidRDefault="00000000" w:rsidRPr="00000000" w14:paraId="00000039">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rtl w:val="0"/>
        </w:rPr>
      </w:r>
    </w:p>
    <w:p w:rsidR="00000000" w:rsidDel="00000000" w:rsidP="00000000" w:rsidRDefault="00000000" w:rsidRPr="00000000" w14:paraId="0000003A">
      <w:pPr>
        <w:rPr>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20"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20"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B">
      <w:pPr>
        <w:jc w:val="center"/>
        <w:rPr>
          <w:sz w:val="28"/>
          <w:szCs w:val="28"/>
        </w:rPr>
      </w:pPr>
      <w:r w:rsidDel="00000000" w:rsidR="00000000" w:rsidRPr="00000000">
        <w:rPr>
          <w:b w:val="1"/>
          <w:sz w:val="28"/>
          <w:szCs w:val="28"/>
          <w:rtl w:val="0"/>
        </w:rPr>
        <w:t xml:space="preserve">SELECTION AND AWARD CRITERIA</w:t>
      </w:r>
      <w:r w:rsidDel="00000000" w:rsidR="00000000" w:rsidRPr="00000000">
        <w:rPr>
          <w:rtl w:val="0"/>
        </w:rPr>
      </w:r>
    </w:p>
    <w:p w:rsidR="00000000" w:rsidDel="00000000" w:rsidP="00000000" w:rsidRDefault="00000000" w:rsidRPr="00000000" w14:paraId="0000003C">
      <w:pPr>
        <w:ind w:left="709" w:hanging="349"/>
        <w:rPr>
          <w:b w:val="1"/>
          <w:sz w:val="22"/>
          <w:szCs w:val="22"/>
        </w:rPr>
      </w:pPr>
      <w:r w:rsidDel="00000000" w:rsidR="00000000" w:rsidRPr="00000000">
        <w:rPr>
          <w:b w:val="1"/>
          <w:sz w:val="22"/>
          <w:szCs w:val="22"/>
          <w:rtl w:val="0"/>
        </w:rPr>
        <w:t xml:space="preserve">16. </w:t>
        <w:tab/>
        <w:t xml:space="preserve">Selection criteria</w:t>
      </w:r>
    </w:p>
    <w:p w:rsidR="00000000" w:rsidDel="00000000" w:rsidP="00000000" w:rsidRDefault="00000000" w:rsidRPr="00000000" w14:paraId="0000003D">
      <w:pPr>
        <w:widowControl w:val="1"/>
        <w:spacing w:after="0" w:before="240" w:lineRule="auto"/>
        <w:ind w:left="426" w:firstLine="0"/>
        <w:jc w:val="both"/>
        <w:rPr>
          <w:sz w:val="22"/>
          <w:szCs w:val="22"/>
        </w:rPr>
      </w:pPr>
      <w:r w:rsidDel="00000000" w:rsidR="00000000" w:rsidRPr="00000000">
        <w:rPr>
          <w:sz w:val="22"/>
          <w:szCs w:val="22"/>
          <w:rtl w:val="0"/>
        </w:rPr>
        <w:t xml:space="preserve">Capacity-providing entities</w:t>
      </w:r>
    </w:p>
    <w:p w:rsidR="00000000" w:rsidDel="00000000" w:rsidP="00000000" w:rsidRDefault="00000000" w:rsidRPr="00000000" w14:paraId="0000003E">
      <w:pPr>
        <w:widowControl w:val="1"/>
        <w:spacing w:after="0" w:before="240" w:lineRule="auto"/>
        <w:ind w:left="426" w:firstLine="0"/>
        <w:jc w:val="both"/>
        <w:rPr>
          <w:sz w:val="22"/>
          <w:szCs w:val="22"/>
        </w:rPr>
      </w:pPr>
      <w:r w:rsidDel="00000000" w:rsidR="00000000" w:rsidRPr="00000000">
        <w:rPr>
          <w:sz w:val="22"/>
          <w:szCs w:val="22"/>
          <w:rtl w:val="0"/>
        </w:rPr>
        <w:t xml:space="preserve">An economic operator (i.e. candidate or tenderer) may, where appropriate and for a particular contract, rely on the capacities of other entities, regardless of the legal nature of the links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Furthermore, the data for this third entity for the relevant selection criterion should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3F">
      <w:pPr>
        <w:widowControl w:val="1"/>
        <w:spacing w:after="0" w:before="240" w:lineRule="auto"/>
        <w:ind w:left="426" w:firstLine="0"/>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40">
      <w:pPr>
        <w:widowControl w:val="1"/>
        <w:spacing w:after="0" w:before="240" w:lineRule="auto"/>
        <w:ind w:left="426" w:firstLine="0"/>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641" w:right="357" w:hanging="284"/>
        <w:jc w:val="both"/>
        <w:rPr>
          <w:color w:val="000000"/>
          <w:sz w:val="22"/>
          <w:szCs w:val="22"/>
        </w:rPr>
      </w:pPr>
      <w:r w:rsidDel="00000000" w:rsidR="00000000" w:rsidRPr="00000000">
        <w:rPr>
          <w:b w:val="1"/>
          <w:color w:val="000000"/>
          <w:sz w:val="22"/>
          <w:szCs w:val="22"/>
          <w:u w:val="single"/>
          <w:rtl w:val="0"/>
        </w:rPr>
        <w:t xml:space="preserve">1)</w:t>
        <w:tab/>
        <w:t xml:space="preserve">Economic and financial capacity of the tenderer</w:t>
      </w:r>
      <w:r w:rsidDel="00000000" w:rsidR="00000000" w:rsidRPr="00000000">
        <w:rPr>
          <w:color w:val="000000"/>
          <w:sz w:val="22"/>
          <w:szCs w:val="22"/>
          <w:rtl w:val="0"/>
        </w:rPr>
        <w:t xml:space="preserve"> In case of tenderer being a public body, equivalent information should be provided. The reference period which will be taken into account will be the last three financial years for which accounts have been closed.</w:t>
      </w:r>
    </w:p>
    <w:p w:rsidR="00000000" w:rsidDel="00000000" w:rsidP="00000000" w:rsidRDefault="00000000" w:rsidRPr="00000000" w14:paraId="00000043">
      <w:pPr>
        <w:rPr/>
      </w:pPr>
      <w:r w:rsidDel="00000000" w:rsidR="00000000" w:rsidRPr="00000000">
        <w:rPr>
          <w:rtl w:val="0"/>
        </w:rPr>
        <w:t xml:space="preserve">The objective of this criterion is to examine whether or not the tenderer (i.e. the consortium as a whole, in the case of a tender from a consortium):</w:t>
      </w:r>
    </w:p>
    <w:p w:rsidR="00000000" w:rsidDel="00000000" w:rsidP="00000000" w:rsidRDefault="00000000" w:rsidRPr="00000000" w14:paraId="00000044">
      <w:pPr>
        <w:numPr>
          <w:ilvl w:val="0"/>
          <w:numId w:val="1"/>
        </w:numPr>
        <w:ind w:left="360" w:hanging="360"/>
        <w:rPr/>
      </w:pPr>
      <w:r w:rsidDel="00000000" w:rsidR="00000000" w:rsidRPr="00000000">
        <w:rPr>
          <w:rtl w:val="0"/>
        </w:rPr>
        <w:t xml:space="preserve">will not be economically dependent on the contracting authority in the event that the contract is awarded to it; </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0" w:lineRule="auto"/>
        <w:ind w:left="720" w:right="357" w:firstLine="0"/>
        <w:jc w:val="both"/>
        <w:rPr>
          <w:color w:val="000000"/>
          <w:sz w:val="22"/>
          <w:szCs w:val="22"/>
          <w:highlight w:val="yellow"/>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641" w:right="357" w:hanging="284"/>
        <w:jc w:val="both"/>
        <w:rPr>
          <w:color w:val="000000"/>
          <w:sz w:val="22"/>
          <w:szCs w:val="22"/>
        </w:rPr>
      </w:pPr>
      <w:r w:rsidDel="00000000" w:rsidR="00000000" w:rsidRPr="00000000">
        <w:rPr>
          <w:b w:val="1"/>
          <w:color w:val="000000"/>
          <w:sz w:val="22"/>
          <w:szCs w:val="22"/>
          <w:u w:val="single"/>
          <w:rtl w:val="0"/>
        </w:rPr>
        <w:t xml:space="preserve">2)</w:t>
      </w:r>
      <w:r w:rsidDel="00000000" w:rsidR="00000000" w:rsidRPr="00000000">
        <w:rPr>
          <w:color w:val="000000"/>
          <w:sz w:val="22"/>
          <w:szCs w:val="22"/>
          <w:u w:val="single"/>
          <w:rtl w:val="0"/>
        </w:rPr>
        <w:tab/>
      </w:r>
      <w:r w:rsidDel="00000000" w:rsidR="00000000" w:rsidRPr="00000000">
        <w:rPr>
          <w:b w:val="1"/>
          <w:color w:val="000000"/>
          <w:sz w:val="22"/>
          <w:szCs w:val="22"/>
          <w:u w:val="single"/>
          <w:rtl w:val="0"/>
        </w:rPr>
        <w:t xml:space="preserve">Professional capacity of the tenderer </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360" w:right="357" w:hanging="2.0000000000000284"/>
        <w:jc w:val="both"/>
        <w:rPr>
          <w:color w:val="000000"/>
          <w:sz w:val="22"/>
          <w:szCs w:val="22"/>
        </w:rPr>
      </w:pPr>
      <w:r w:rsidDel="00000000" w:rsidR="00000000" w:rsidRPr="00000000">
        <w:rPr>
          <w:color w:val="000000"/>
          <w:sz w:val="22"/>
          <w:szCs w:val="22"/>
          <w:rtl w:val="0"/>
        </w:rPr>
        <w:t xml:space="preserve">The reference period which will be taken into account will be the last three years preceding the submission deadline.</w:t>
      </w:r>
    </w:p>
    <w:p w:rsidR="00000000" w:rsidDel="00000000" w:rsidP="00000000" w:rsidRDefault="00000000" w:rsidRPr="00000000" w14:paraId="00000048">
      <w:pPr>
        <w:rPr/>
      </w:pPr>
      <w:r w:rsidDel="00000000" w:rsidR="00000000" w:rsidRPr="00000000">
        <w:rPr>
          <w:rtl w:val="0"/>
        </w:rPr>
        <w:t xml:space="preserve">The objective of this criterion is to examine whether or not the tenderer (i.e. the consortium as a whole, in the case of a tenderer from a consortium):</w:t>
      </w:r>
    </w:p>
    <w:p w:rsidR="00000000" w:rsidDel="00000000" w:rsidP="00000000" w:rsidRDefault="00000000" w:rsidRPr="00000000" w14:paraId="00000049">
      <w:pPr>
        <w:numPr>
          <w:ilvl w:val="0"/>
          <w:numId w:val="1"/>
        </w:numPr>
        <w:ind w:left="360" w:hanging="360"/>
        <w:rPr/>
      </w:pPr>
      <w:r w:rsidDel="00000000" w:rsidR="00000000" w:rsidRPr="00000000">
        <w:rPr>
          <w:rtl w:val="0"/>
        </w:rPr>
        <w:t xml:space="preserve">has sufficient ongoing staff resources and expertise to be able to handle the proposed contract</w:t>
      </w:r>
    </w:p>
    <w:p w:rsidR="00000000" w:rsidDel="00000000" w:rsidP="00000000" w:rsidRDefault="00000000" w:rsidRPr="00000000" w14:paraId="0000004A">
      <w:pPr>
        <w:numPr>
          <w:ilvl w:val="0"/>
          <w:numId w:val="1"/>
        </w:numPr>
        <w:ind w:left="360" w:hanging="360"/>
        <w:rPr/>
      </w:pPr>
      <w:r w:rsidDel="00000000" w:rsidR="00000000" w:rsidRPr="00000000">
        <w:rPr>
          <w:rtl w:val="0"/>
        </w:rPr>
        <w:t xml:space="preserve">has at least 2 years of experience in the relevant field.</w:t>
      </w:r>
    </w:p>
    <w:p w:rsidR="00000000" w:rsidDel="00000000" w:rsidP="00000000" w:rsidRDefault="00000000" w:rsidRPr="00000000" w14:paraId="0000004B">
      <w:pPr>
        <w:numPr>
          <w:ilvl w:val="0"/>
          <w:numId w:val="1"/>
        </w:numPr>
        <w:ind w:left="360" w:hanging="360"/>
        <w:rPr/>
      </w:pPr>
      <w:r w:rsidDel="00000000" w:rsidR="00000000" w:rsidRPr="00000000">
        <w:rPr>
          <w:rtl w:val="0"/>
        </w:rPr>
        <w:t xml:space="preserve">University degree with relevant experience.</w:t>
      </w:r>
    </w:p>
    <w:p w:rsidR="00000000" w:rsidDel="00000000" w:rsidP="00000000" w:rsidRDefault="00000000" w:rsidRPr="00000000" w14:paraId="0000004C">
      <w:pPr>
        <w:numPr>
          <w:ilvl w:val="0"/>
          <w:numId w:val="1"/>
        </w:numPr>
        <w:ind w:left="360" w:hanging="360"/>
        <w:rPr/>
      </w:pPr>
      <w:r w:rsidDel="00000000" w:rsidR="00000000" w:rsidRPr="00000000">
        <w:rPr>
          <w:rtl w:val="0"/>
        </w:rPr>
        <w:t xml:space="preserve">Previous experience of working with Roma community will be considered a strong advantage.</w:t>
      </w:r>
    </w:p>
    <w:p w:rsidR="00000000" w:rsidDel="00000000" w:rsidP="00000000" w:rsidRDefault="00000000" w:rsidRPr="00000000" w14:paraId="0000004D">
      <w:pPr>
        <w:numPr>
          <w:ilvl w:val="0"/>
          <w:numId w:val="1"/>
        </w:numPr>
        <w:ind w:left="360" w:hanging="360"/>
        <w:rPr/>
      </w:pPr>
      <w:r w:rsidDel="00000000" w:rsidR="00000000" w:rsidRPr="00000000">
        <w:rPr>
          <w:rtl w:val="0"/>
        </w:rPr>
        <w:t xml:space="preserve">Excellent communication, interpersonal, and relationship-building skills.</w:t>
      </w:r>
    </w:p>
    <w:p w:rsidR="00000000" w:rsidDel="00000000" w:rsidP="00000000" w:rsidRDefault="00000000" w:rsidRPr="00000000" w14:paraId="0000004E">
      <w:pPr>
        <w:numPr>
          <w:ilvl w:val="0"/>
          <w:numId w:val="1"/>
        </w:numPr>
        <w:ind w:left="360" w:hanging="360"/>
        <w:rPr/>
      </w:pPr>
      <w:r w:rsidDel="00000000" w:rsidR="00000000" w:rsidRPr="00000000">
        <w:rPr>
          <w:rtl w:val="0"/>
        </w:rPr>
        <w:t xml:space="preserve">Proven experience in organizing community events and workshops.</w:t>
      </w:r>
    </w:p>
    <w:p w:rsidR="00000000" w:rsidDel="00000000" w:rsidP="00000000" w:rsidRDefault="00000000" w:rsidRPr="00000000" w14:paraId="0000004F">
      <w:pPr>
        <w:numPr>
          <w:ilvl w:val="0"/>
          <w:numId w:val="1"/>
        </w:numPr>
        <w:ind w:left="360" w:hanging="360"/>
        <w:rPr/>
      </w:pPr>
      <w:r w:rsidDel="00000000" w:rsidR="00000000" w:rsidRPr="00000000">
        <w:rPr>
          <w:rtl w:val="0"/>
        </w:rPr>
        <w:t xml:space="preserve">Proficiency in Microsoft Office Suite (Word, Excel, PowerPoint) and other relevant software</w:t>
      </w:r>
    </w:p>
    <w:p w:rsidR="00000000" w:rsidDel="00000000" w:rsidP="00000000" w:rsidRDefault="00000000" w:rsidRPr="00000000" w14:paraId="00000050">
      <w:pPr>
        <w:numPr>
          <w:ilvl w:val="0"/>
          <w:numId w:val="1"/>
        </w:numPr>
        <w:ind w:left="360" w:hanging="360"/>
        <w:rPr/>
      </w:pPr>
      <w:r w:rsidDel="00000000" w:rsidR="00000000" w:rsidRPr="00000000">
        <w:rPr>
          <w:rtl w:val="0"/>
        </w:rPr>
        <w:t xml:space="preserve"> Fluency in Turkish is required.</w:t>
      </w:r>
    </w:p>
    <w:p w:rsidR="00000000" w:rsidDel="00000000" w:rsidP="00000000" w:rsidRDefault="00000000" w:rsidRPr="00000000" w14:paraId="00000051">
      <w:pPr>
        <w:numPr>
          <w:ilvl w:val="0"/>
          <w:numId w:val="1"/>
        </w:numPr>
        <w:ind w:left="360" w:hanging="360"/>
        <w:rPr/>
      </w:pPr>
      <w:r w:rsidDel="00000000" w:rsidR="00000000" w:rsidRPr="00000000">
        <w:rPr>
          <w:rtl w:val="0"/>
        </w:rPr>
        <w:t xml:space="preserve">High level of empathy, cultural sensitivity, and commitment to community development.</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720" w:right="357" w:hanging="360"/>
        <w:jc w:val="both"/>
        <w:rPr>
          <w:b w:val="1"/>
          <w:sz w:val="22"/>
          <w:szCs w:val="22"/>
          <w:u w:val="single"/>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720" w:right="357" w:hanging="360"/>
        <w:jc w:val="both"/>
        <w:rPr>
          <w:color w:val="000000"/>
          <w:sz w:val="22"/>
          <w:szCs w:val="22"/>
        </w:rPr>
      </w:pPr>
      <w:r w:rsidDel="00000000" w:rsidR="00000000" w:rsidRPr="00000000">
        <w:rPr>
          <w:b w:val="1"/>
          <w:color w:val="000000"/>
          <w:sz w:val="22"/>
          <w:szCs w:val="22"/>
          <w:u w:val="single"/>
          <w:rtl w:val="0"/>
        </w:rPr>
        <w:t xml:space="preserve">3)</w:t>
        <w:tab/>
        <w:t xml:space="preserve">Technical capacity of tenderer </w:t>
      </w:r>
      <w:r w:rsidDel="00000000" w:rsidR="00000000" w:rsidRPr="00000000">
        <w:rPr>
          <w:color w:val="000000"/>
          <w:sz w:val="22"/>
          <w:szCs w:val="22"/>
          <w:rtl w:val="0"/>
        </w:rPr>
        <w:t xml:space="preserve">(based on items 5 and 6 of the tender form). The reference period which will be taken into account will be the last two years preceding the submission deadline.</w:t>
      </w:r>
    </w:p>
    <w:p w:rsidR="00000000" w:rsidDel="00000000" w:rsidP="00000000" w:rsidRDefault="00000000" w:rsidRPr="00000000" w14:paraId="00000054">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rtl w:val="0"/>
        </w:rPr>
      </w:r>
    </w:p>
    <w:p w:rsidR="00000000" w:rsidDel="00000000" w:rsidP="00000000" w:rsidRDefault="00000000" w:rsidRPr="00000000" w14:paraId="00000055">
      <w:pPr>
        <w:ind w:left="709" w:hanging="349"/>
        <w:rPr>
          <w:sz w:val="22"/>
          <w:szCs w:val="22"/>
        </w:rPr>
      </w:pPr>
      <w:r w:rsidDel="00000000" w:rsidR="00000000" w:rsidRPr="00000000">
        <w:rPr>
          <w:b w:val="1"/>
          <w:sz w:val="22"/>
          <w:szCs w:val="22"/>
          <w:rtl w:val="0"/>
        </w:rPr>
        <w:t xml:space="preserve">17. </w:t>
        <w:tab/>
        <w:t xml:space="preserve">Award criteria</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360" w:right="1" w:firstLine="0"/>
        <w:jc w:val="both"/>
        <w:rPr>
          <w:color w:val="000000"/>
          <w:sz w:val="22"/>
          <w:szCs w:val="22"/>
        </w:rPr>
      </w:pPr>
      <w:r w:rsidDel="00000000" w:rsidR="00000000" w:rsidRPr="00000000">
        <w:rPr>
          <w:color w:val="000000"/>
          <w:sz w:val="22"/>
          <w:szCs w:val="22"/>
          <w:rtl w:val="0"/>
        </w:rPr>
        <w:t xml:space="preserve">Best </w:t>
      </w:r>
      <w:r w:rsidDel="00000000" w:rsidR="00000000" w:rsidRPr="00000000">
        <w:rPr>
          <w:color w:val="000000"/>
          <w:rtl w:val="0"/>
        </w:rPr>
        <w:t xml:space="preserve">price-quality ratio.</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w:t>
      </w:r>
    </w:p>
    <w:p w:rsidR="00000000" w:rsidDel="00000000" w:rsidP="00000000" w:rsidRDefault="00000000" w:rsidRPr="00000000" w14:paraId="00000058">
      <w:pPr>
        <w:rPr>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19"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103189</wp:posOffset>
                </wp:positionH>
                <wp:positionV relativeFrom="paragraph">
                  <wp:posOffset>0</wp:posOffset>
                </wp:positionV>
                <wp:extent cx="0" cy="12700"/>
                <wp:effectExtent b="0" l="0" r="0" t="0"/>
                <wp:wrapNone/>
                <wp:docPr id="1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59">
      <w:pPr>
        <w:keepNext w:val="1"/>
        <w:jc w:val="center"/>
        <w:rPr>
          <w:sz w:val="28"/>
          <w:szCs w:val="28"/>
        </w:rPr>
      </w:pPr>
      <w:r w:rsidDel="00000000" w:rsidR="00000000" w:rsidRPr="00000000">
        <w:rPr>
          <w:b w:val="1"/>
          <w:sz w:val="28"/>
          <w:szCs w:val="28"/>
          <w:rtl w:val="0"/>
        </w:rPr>
        <w:t xml:space="preserve">TENDERING</w:t>
      </w:r>
      <w:r w:rsidDel="00000000" w:rsidR="00000000" w:rsidRPr="00000000">
        <w:rPr>
          <w:rtl w:val="0"/>
        </w:rPr>
      </w:r>
    </w:p>
    <w:p w:rsidR="00000000" w:rsidDel="00000000" w:rsidP="00000000" w:rsidRDefault="00000000" w:rsidRPr="00000000" w14:paraId="0000005A">
      <w:pPr>
        <w:keepNext w:val="1"/>
        <w:ind w:left="709" w:hanging="352"/>
        <w:rPr>
          <w:sz w:val="22"/>
          <w:szCs w:val="22"/>
        </w:rPr>
      </w:pPr>
      <w:r w:rsidDel="00000000" w:rsidR="00000000" w:rsidRPr="00000000">
        <w:rPr>
          <w:b w:val="1"/>
          <w:sz w:val="22"/>
          <w:szCs w:val="22"/>
          <w:rtl w:val="0"/>
        </w:rPr>
        <w:t xml:space="preserve">18. </w:t>
        <w:tab/>
        <w:t xml:space="preserve">Deadline for submission of tenders</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sz w:val="22"/>
          <w:szCs w:val="22"/>
          <w:rtl w:val="0"/>
        </w:rPr>
        <w:t xml:space="preserve">The deadline for submission of tenders is 30 days from the date of publishing. If the deadline is a non working day, the period will be extended until the next working day. </w:t>
      </w:r>
      <w:r w:rsidDel="00000000" w:rsidR="00000000" w:rsidRPr="00000000">
        <w:rPr>
          <w:color w:val="000000"/>
          <w:sz w:val="22"/>
          <w:szCs w:val="22"/>
          <w:highlight w:val="yellow"/>
          <w:rtl w:val="0"/>
        </w:rPr>
        <w:t xml:space="preserve">   </w:t>
      </w:r>
      <w:r w:rsidDel="00000000" w:rsidR="00000000" w:rsidRPr="00000000">
        <w:rPr>
          <w:rtl w:val="0"/>
        </w:rPr>
      </w:r>
    </w:p>
    <w:p w:rsidR="00000000" w:rsidDel="00000000" w:rsidP="00000000" w:rsidRDefault="00000000" w:rsidRPr="00000000" w14:paraId="0000005C">
      <w:pPr>
        <w:ind w:left="709" w:hanging="349"/>
        <w:rPr>
          <w:sz w:val="22"/>
          <w:szCs w:val="22"/>
        </w:rPr>
      </w:pPr>
      <w:r w:rsidDel="00000000" w:rsidR="00000000" w:rsidRPr="00000000">
        <w:rPr>
          <w:b w:val="1"/>
          <w:sz w:val="22"/>
          <w:szCs w:val="22"/>
          <w:rtl w:val="0"/>
        </w:rPr>
        <w:t xml:space="preserve">19. </w:t>
        <w:tab/>
        <w:t xml:space="preserve">Tender format and details to be provided</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Tenders must be submitted using the standard tender form for simplified procedures, the format and instructions of which must be strictly observed. The tender form is available from the following internet address: </w:t>
      </w:r>
      <w:hyperlink r:id="rId9">
        <w:r w:rsidDel="00000000" w:rsidR="00000000" w:rsidRPr="00000000">
          <w:rPr>
            <w:color w:val="0000ff"/>
            <w:sz w:val="22"/>
            <w:szCs w:val="22"/>
            <w:u w:val="single"/>
            <w:rtl w:val="0"/>
          </w:rPr>
          <w:t xml:space="preserve">https://wikis.ec.europa.eu/display/ExactExternalWiki/Annexes#Annexes-AnnexesB(Ch.3):Servicecontracts</w:t>
        </w:r>
      </w:hyperlink>
      <w:r w:rsidDel="00000000" w:rsidR="00000000" w:rsidRPr="00000000">
        <w:rPr>
          <w:color w:val="000000"/>
          <w:sz w:val="22"/>
          <w:szCs w:val="22"/>
          <w:rtl w:val="0"/>
        </w:rPr>
        <w:t xml:space="preserve">, under the zip file called Simplified Tender dossier. </w:t>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The tender must be accompanied by a declaration on honour on exclusion and selection criteria using the template available from the following Internet address:</w:t>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360" w:right="360" w:firstLine="0"/>
        <w:jc w:val="both"/>
        <w:rPr>
          <w:color w:val="000000"/>
          <w:sz w:val="22"/>
          <w:szCs w:val="22"/>
        </w:rPr>
      </w:pPr>
      <w:hyperlink r:id="rId10">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color w:val="000000"/>
          <w:sz w:val="22"/>
          <w:szCs w:val="22"/>
          <w:rtl w:val="0"/>
        </w:rPr>
        <w:t xml:space="preserve"> </w:t>
      </w:r>
    </w:p>
    <w:p w:rsidR="00000000" w:rsidDel="00000000" w:rsidP="00000000" w:rsidRDefault="00000000" w:rsidRPr="00000000" w14:paraId="00000060">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Any additional documentation (brochure, letter, etc.) sent with a tender will not be taken into consideration.</w:t>
      </w:r>
    </w:p>
    <w:p w:rsidR="00000000" w:rsidDel="00000000" w:rsidP="00000000" w:rsidRDefault="00000000" w:rsidRPr="00000000" w14:paraId="00000061">
      <w:pPr>
        <w:ind w:left="709" w:hanging="349"/>
        <w:rPr>
          <w:sz w:val="22"/>
          <w:szCs w:val="22"/>
        </w:rPr>
      </w:pPr>
      <w:r w:rsidDel="00000000" w:rsidR="00000000" w:rsidRPr="00000000">
        <w:rPr>
          <w:b w:val="1"/>
          <w:sz w:val="22"/>
          <w:szCs w:val="22"/>
          <w:rtl w:val="0"/>
        </w:rPr>
        <w:t xml:space="preserve">20. </w:t>
        <w:tab/>
        <w:t xml:space="preserve">How tenders may be submitted</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Tenders must be submitted in English exclusively to the contracting authority, using the means specified in point 8 of the instructions to tenderers.  </w:t>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Tenders submitted by any other means will not be considered.</w:t>
      </w:r>
    </w:p>
    <w:p w:rsidR="00000000" w:rsidDel="00000000" w:rsidP="00000000" w:rsidRDefault="00000000" w:rsidRPr="00000000" w14:paraId="00000064">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By submitting a tender tenderers accept to receive notification of the outcome of the procedure by electronic means.</w:t>
      </w:r>
    </w:p>
    <w:p w:rsidR="00000000" w:rsidDel="00000000" w:rsidP="00000000" w:rsidRDefault="00000000" w:rsidRPr="00000000" w14:paraId="00000065">
      <w:pPr>
        <w:ind w:left="709" w:hanging="349"/>
        <w:rPr>
          <w:b w:val="1"/>
          <w:sz w:val="22"/>
          <w:szCs w:val="22"/>
        </w:rPr>
      </w:pPr>
      <w:r w:rsidDel="00000000" w:rsidR="00000000" w:rsidRPr="00000000">
        <w:rPr>
          <w:b w:val="1"/>
          <w:sz w:val="22"/>
          <w:szCs w:val="22"/>
          <w:rtl w:val="0"/>
        </w:rPr>
        <w:t xml:space="preserve">21.</w:t>
        <w:tab/>
        <w:t xml:space="preserve">Alteration or withdrawal of tenders</w:t>
      </w:r>
    </w:p>
    <w:p w:rsidR="00000000" w:rsidDel="00000000" w:rsidP="00000000" w:rsidRDefault="00000000" w:rsidRPr="00000000" w14:paraId="00000066">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Tenderers may alter or withdraw their tenders by written notification prior to the deadline for submission of tenders. No tender may be altered after this deadline.</w:t>
      </w:r>
    </w:p>
    <w:p w:rsidR="00000000" w:rsidDel="00000000" w:rsidP="00000000" w:rsidRDefault="00000000" w:rsidRPr="00000000" w14:paraId="00000067">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Any such notification of alteration or withdrawal shall be prepared and submitted in accordance with point 9 of the instructions to tenderers. </w:t>
      </w:r>
    </w:p>
    <w:p w:rsidR="00000000" w:rsidDel="00000000" w:rsidP="00000000" w:rsidRDefault="00000000" w:rsidRPr="00000000" w14:paraId="00000068">
      <w:pPr>
        <w:keepNext w:val="1"/>
        <w:ind w:left="709" w:hanging="352"/>
        <w:rPr>
          <w:sz w:val="22"/>
          <w:szCs w:val="22"/>
        </w:rPr>
      </w:pPr>
      <w:r w:rsidDel="00000000" w:rsidR="00000000" w:rsidRPr="00000000">
        <w:rPr>
          <w:b w:val="1"/>
          <w:sz w:val="22"/>
          <w:szCs w:val="22"/>
          <w:rtl w:val="0"/>
        </w:rPr>
        <w:t xml:space="preserve">22. </w:t>
        <w:tab/>
        <w:t xml:space="preserve">Operational language</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color w:val="000000"/>
          <w:sz w:val="22"/>
          <w:szCs w:val="22"/>
          <w:rtl w:val="0"/>
        </w:rPr>
        <w:t xml:space="preserve">All written communications for this tender procedure and contract must be in English.  </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ind w:left="360" w:right="360" w:firstLine="0"/>
        <w:jc w:val="both"/>
        <w:rPr>
          <w:b w:val="1"/>
          <w:color w:val="000000"/>
          <w:sz w:val="22"/>
          <w:szCs w:val="22"/>
        </w:rPr>
      </w:pPr>
      <w:r w:rsidDel="00000000" w:rsidR="00000000" w:rsidRPr="00000000">
        <w:rPr>
          <w:b w:val="1"/>
          <w:color w:val="000000"/>
          <w:sz w:val="22"/>
          <w:szCs w:val="22"/>
          <w:rtl w:val="0"/>
        </w:rPr>
        <w:t xml:space="preserve">23. Additional information</w:t>
      </w:r>
    </w:p>
    <w:p w:rsidR="00000000" w:rsidDel="00000000" w:rsidP="00000000" w:rsidRDefault="00000000" w:rsidRPr="00000000" w14:paraId="0000006B">
      <w:pPr>
        <w:widowControl w:val="1"/>
        <w:spacing w:after="0" w:lineRule="auto"/>
        <w:ind w:left="360" w:right="360" w:firstLine="0"/>
        <w:jc w:val="both"/>
        <w:rPr/>
      </w:pPr>
      <w:r w:rsidDel="00000000" w:rsidR="00000000" w:rsidRPr="00000000">
        <w:rPr>
          <w:rtl w:val="0"/>
        </w:rPr>
        <w:t xml:space="preserve">Financial data to be provided by the candidate in the standard application form must be expressed in TRY If applicable, where a candidate refers to amounts originally expressed in a different currency, the conversion to TRY  shall be made in accordance with the InforEuro exchange rate of month and year correspond to the month and year of the publication of the present contract notice or the month and year corresponding to the deadline for submitting applications, which can be found at the following address: </w:t>
      </w:r>
      <w:hyperlink r:id="rId11">
        <w:r w:rsidDel="00000000" w:rsidR="00000000" w:rsidRPr="00000000">
          <w:rPr>
            <w:color w:val="0000ff"/>
            <w:u w:val="single"/>
            <w:rtl w:val="0"/>
          </w:rPr>
          <w:t xml:space="preserve">http://ec.europa.eu/budget/graphs/inforeuro.html</w:t>
        </w:r>
      </w:hyperlink>
      <w:r w:rsidDel="00000000" w:rsidR="00000000" w:rsidRPr="00000000">
        <w:rPr>
          <w:rtl w:val="0"/>
        </w:rPr>
        <w:t xml:space="preserve">.</w:t>
      </w:r>
    </w:p>
    <w:p w:rsidR="00000000" w:rsidDel="00000000" w:rsidP="00000000" w:rsidRDefault="00000000" w:rsidRPr="00000000" w14:paraId="0000006C">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5840" w:w="12240" w:orient="portrait"/>
      <w:pgMar w:bottom="1276" w:top="709" w:left="1418" w:right="1440" w:header="851" w:footer="6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320"/>
        <w:tab w:val="right" w:leader="none" w:pos="8640"/>
        <w:tab w:val="right" w:leader="none" w:pos="9214"/>
      </w:tabs>
      <w:spacing w:after="0" w:before="120" w:lineRule="auto"/>
      <w:rPr>
        <w:b w:val="1"/>
        <w:color w:val="000000"/>
        <w:sz w:val="20"/>
        <w:szCs w:val="20"/>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color w:val="000000"/>
      </w:rPr>
    </w:pPr>
    <w:r w:rsidDel="00000000" w:rsidR="00000000" w:rsidRPr="00000000">
      <w:rPr>
        <w:color w:val="000000"/>
        <w:sz w:val="18"/>
        <w:szCs w:val="18"/>
        <w:rtl w:val="0"/>
      </w:rPr>
      <w:t xml:space="preserve">b8o3_contractnotice_simp_en.doc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before="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Regulation (EU) 2021/1529 of the European Parliament and of the Council of 15 September 2021 establishing the Instrument for Pre-Accession assistance (IPA III); OJ L 330, 20.9.2021, p. 1–26.</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widowControl w:val="0"/>
        <w:spacing w:after="100" w:before="1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widowControl w:val="1"/>
      <w:spacing w:after="120" w:before="120" w:lineRule="auto"/>
    </w:pPr>
    <w:rPr>
      <w:rFonts w:ascii="Arial" w:cs="Arial" w:eastAsia="Arial" w:hAnsi="Arial"/>
      <w:sz w:val="20"/>
      <w:szCs w:val="2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paragraph" w:styleId="DefinitionTerm" w:customStyle="1">
    <w:name w:val="Definition Term"/>
    <w:basedOn w:val="Normal"/>
    <w:next w:val="DefinitionList"/>
    <w:pPr>
      <w:spacing w:after="0" w:before="0"/>
    </w:pPr>
  </w:style>
  <w:style w:type="paragraph" w:styleId="DefinitionList" w:customStyle="1">
    <w:name w:val="Definition List"/>
    <w:basedOn w:val="Normal"/>
    <w:next w:val="DefinitionTerm"/>
    <w:pPr>
      <w:spacing w:after="0" w:before="0"/>
      <w:ind w:left="360"/>
    </w:pPr>
  </w:style>
  <w:style w:type="character" w:styleId="Definition" w:customStyle="1">
    <w:name w:val="Definition"/>
    <w:rPr>
      <w:i w:val="1"/>
    </w:rPr>
  </w:style>
  <w:style w:type="paragraph" w:styleId="H1" w:customStyle="1">
    <w:name w:val="H1"/>
    <w:basedOn w:val="Normal"/>
    <w:next w:val="Normal"/>
    <w:pPr>
      <w:keepNext w:val="1"/>
      <w:outlineLvl w:val="1"/>
    </w:pPr>
    <w:rPr>
      <w:b w:val="1"/>
      <w:kern w:val="36"/>
      <w:sz w:val="48"/>
    </w:rPr>
  </w:style>
  <w:style w:type="paragraph" w:styleId="H2" w:customStyle="1">
    <w:name w:val="H2"/>
    <w:basedOn w:val="Normal"/>
    <w:next w:val="Normal"/>
    <w:pPr>
      <w:keepNext w:val="1"/>
      <w:outlineLvl w:val="2"/>
    </w:pPr>
    <w:rPr>
      <w:b w:val="1"/>
      <w:sz w:val="36"/>
    </w:rPr>
  </w:style>
  <w:style w:type="paragraph" w:styleId="H3" w:customStyle="1">
    <w:name w:val="H3"/>
    <w:basedOn w:val="Normal"/>
    <w:next w:val="Normal"/>
    <w:pPr>
      <w:keepNext w:val="1"/>
      <w:outlineLvl w:val="3"/>
    </w:pPr>
    <w:rPr>
      <w:b w:val="1"/>
      <w:sz w:val="28"/>
    </w:rPr>
  </w:style>
  <w:style w:type="paragraph" w:styleId="H4" w:customStyle="1">
    <w:name w:val="H4"/>
    <w:basedOn w:val="Normal"/>
    <w:next w:val="Normal"/>
    <w:pPr>
      <w:keepNext w:val="1"/>
      <w:outlineLvl w:val="4"/>
    </w:pPr>
    <w:rPr>
      <w:b w:val="1"/>
    </w:rPr>
  </w:style>
  <w:style w:type="paragraph" w:styleId="H5" w:customStyle="1">
    <w:name w:val="H5"/>
    <w:basedOn w:val="Normal"/>
    <w:next w:val="Normal"/>
    <w:pPr>
      <w:keepNext w:val="1"/>
      <w:outlineLvl w:val="5"/>
    </w:pPr>
    <w:rPr>
      <w:b w:val="1"/>
      <w:sz w:val="20"/>
    </w:rPr>
  </w:style>
  <w:style w:type="paragraph" w:styleId="H6" w:customStyle="1">
    <w:name w:val="H6"/>
    <w:basedOn w:val="Normal"/>
    <w:next w:val="Normal"/>
    <w:pPr>
      <w:keepNext w:val="1"/>
      <w:outlineLvl w:val="6"/>
    </w:pPr>
    <w:rPr>
      <w:b w:val="1"/>
      <w:sz w:val="16"/>
    </w:rPr>
  </w:style>
  <w:style w:type="paragraph" w:styleId="Address" w:customStyle="1">
    <w:name w:val="Address"/>
    <w:basedOn w:val="Normal"/>
    <w:next w:val="Normal"/>
    <w:pPr>
      <w:spacing w:after="0" w:before="0"/>
    </w:pPr>
    <w:rPr>
      <w:i w:val="1"/>
    </w:rPr>
  </w:style>
  <w:style w:type="paragraph" w:styleId="Blockquote" w:customStyle="1">
    <w:name w:val="Blockquote"/>
    <w:basedOn w:val="Normal"/>
    <w:pPr>
      <w:ind w:left="360" w:right="360"/>
    </w:pPr>
  </w:style>
  <w:style w:type="character" w:styleId="CITE" w:customStyle="1">
    <w:name w:val="CITE"/>
    <w:rPr>
      <w:i w:val="1"/>
    </w:rPr>
  </w:style>
  <w:style w:type="character" w:styleId="CODE" w:customStyle="1">
    <w:name w:val="CODE"/>
    <w:rPr>
      <w:rFonts w:ascii="Courier New" w:hAnsi="Courier New"/>
      <w:sz w:val="20"/>
    </w:rPr>
  </w:style>
  <w:style w:type="character" w:styleId="Emphasis">
    <w:name w:val="Emphasis"/>
    <w:uiPriority w:val="20"/>
    <w:qFormat w:val="1"/>
    <w:rPr>
      <w:i w:val="1"/>
    </w:rPr>
  </w:style>
  <w:style w:type="character" w:styleId="Hyperlink">
    <w:name w:val="Hyperlink"/>
    <w:rPr>
      <w:color w:val="0000ff"/>
      <w:u w:val="single"/>
    </w:rPr>
  </w:style>
  <w:style w:type="character" w:styleId="FollowedHyperlink">
    <w:name w:val="FollowedHyperlink"/>
    <w:rPr>
      <w:color w:val="800080"/>
      <w:u w:val="single"/>
    </w:rPr>
  </w:style>
  <w:style w:type="character" w:styleId="Keyboard" w:customStyle="1">
    <w:name w:val="Keyboard"/>
    <w:rPr>
      <w:rFonts w:ascii="Courier New" w:hAnsi="Courier New"/>
      <w:b w:val="1"/>
      <w:sz w:val="20"/>
    </w:rPr>
  </w:style>
  <w:style w:type="paragraph" w:styleId="Preformatted" w:customStyle="1">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before="0"/>
    </w:pPr>
    <w:rPr>
      <w:rFonts w:ascii="Courier New" w:hAnsi="Courier New"/>
      <w:sz w:val="20"/>
    </w:rPr>
  </w:style>
  <w:style w:type="paragraph" w:styleId="z-BottomofForm">
    <w:name w:val="HTML Bottom of Form"/>
    <w:next w:val="Normal"/>
    <w:hidden w:val="1"/>
    <w:pPr>
      <w:pBdr>
        <w:top w:color="000000" w:space="0" w:sz="2" w:val="double"/>
      </w:pBdr>
      <w:jc w:val="center"/>
    </w:pPr>
    <w:rPr>
      <w:rFonts w:ascii="Arial" w:hAnsi="Arial"/>
      <w:snapToGrid w:val="0"/>
      <w:vanish w:val="1"/>
      <w:sz w:val="16"/>
    </w:rPr>
  </w:style>
  <w:style w:type="paragraph" w:styleId="z-TopofForm">
    <w:name w:val="HTML Top of Form"/>
    <w:next w:val="Normal"/>
    <w:hidden w:val="1"/>
    <w:pPr>
      <w:pBdr>
        <w:bottom w:color="000000" w:space="0" w:sz="2" w:val="double"/>
      </w:pBdr>
      <w:jc w:val="center"/>
    </w:pPr>
    <w:rPr>
      <w:rFonts w:ascii="Arial" w:hAnsi="Arial"/>
      <w:snapToGrid w:val="0"/>
      <w:vanish w:val="1"/>
      <w:sz w:val="16"/>
    </w:rPr>
  </w:style>
  <w:style w:type="character" w:styleId="Sample" w:customStyle="1">
    <w:name w:val="Sample"/>
    <w:rPr>
      <w:rFonts w:ascii="Courier New" w:hAnsi="Courier New"/>
    </w:rPr>
  </w:style>
  <w:style w:type="character" w:styleId="Strong">
    <w:name w:val="Strong"/>
    <w:qFormat w:val="1"/>
    <w:rPr>
      <w:b w:val="1"/>
    </w:rPr>
  </w:style>
  <w:style w:type="character" w:styleId="Typewriter" w:customStyle="1">
    <w:name w:val="Typewriter"/>
    <w:rPr>
      <w:rFonts w:ascii="Courier New" w:hAnsi="Courier New"/>
      <w:sz w:val="20"/>
    </w:rPr>
  </w:style>
  <w:style w:type="character" w:styleId="Variable" w:customStyle="1">
    <w:name w:val="Variable"/>
    <w:rPr>
      <w:i w:val="1"/>
    </w:rPr>
  </w:style>
  <w:style w:type="character" w:styleId="HTMLMarkup" w:customStyle="1">
    <w:name w:val="HTML Markup"/>
    <w:rPr>
      <w:vanish w:val="1"/>
      <w:color w:val="ff0000"/>
    </w:rPr>
  </w:style>
  <w:style w:type="character" w:styleId="Comment" w:customStyle="1">
    <w:name w:val="Comment"/>
    <w:rPr>
      <w:vanish w:val="1"/>
    </w:rPr>
  </w:style>
  <w:style w:type="paragraph" w:styleId="DocumentMap">
    <w:name w:val="Document Map"/>
    <w:basedOn w:val="Normal"/>
    <w:semiHidden w:val="1"/>
    <w:pPr>
      <w:shd w:color="auto" w:fill="000080" w:val="clear"/>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val="1"/>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after="120" w:before="120" w:line="240" w:lineRule="exact"/>
      <w:jc w:val="both"/>
    </w:pPr>
    <w:rPr>
      <w:rFonts w:ascii="Arial" w:hAnsi="Arial"/>
      <w:b w:val="1"/>
    </w:rPr>
  </w:style>
  <w:style w:type="paragraph" w:styleId="FootnoteText">
    <w:name w:val="footnote text"/>
    <w:basedOn w:val="Normal"/>
    <w:link w:val="FootnoteTextChar"/>
    <w:uiPriority w:val="99"/>
    <w:rsid w:val="001951FE"/>
    <w:rPr>
      <w:sz w:val="20"/>
    </w:rPr>
  </w:style>
  <w:style w:type="character" w:styleId="FootnoteReference">
    <w:name w:val="footnote reference"/>
    <w:uiPriority w:val="99"/>
    <w:qFormat w:val="1"/>
    <w:rsid w:val="001951FE"/>
    <w:rPr>
      <w:vertAlign w:val="superscript"/>
    </w:rPr>
  </w:style>
  <w:style w:type="character" w:styleId="FooterChar" w:customStyle="1">
    <w:name w:val="Footer Char"/>
    <w:link w:val="Footer"/>
    <w:rsid w:val="007727F3"/>
    <w:rPr>
      <w:snapToGrid w:val="0"/>
      <w:sz w:val="24"/>
      <w:lang w:eastAsia="en-US" w:val="en-US"/>
    </w:rPr>
  </w:style>
  <w:style w:type="paragraph" w:styleId="BalloonText">
    <w:name w:val="Balloon Text"/>
    <w:basedOn w:val="Normal"/>
    <w:link w:val="BalloonTextChar"/>
    <w:rsid w:val="00D240C3"/>
    <w:pPr>
      <w:spacing w:after="0" w:before="0"/>
    </w:pPr>
    <w:rPr>
      <w:rFonts w:ascii="Tahoma" w:cs="Tahoma" w:hAnsi="Tahoma"/>
      <w:sz w:val="16"/>
      <w:szCs w:val="16"/>
    </w:rPr>
  </w:style>
  <w:style w:type="character" w:styleId="BalloonTextChar" w:customStyle="1">
    <w:name w:val="Balloon Text Char"/>
    <w:link w:val="BalloonText"/>
    <w:rsid w:val="00D240C3"/>
    <w:rPr>
      <w:rFonts w:ascii="Tahoma" w:cs="Tahoma" w:hAnsi="Tahoma"/>
      <w:snapToGrid w:val="0"/>
      <w:sz w:val="16"/>
      <w:szCs w:val="16"/>
      <w:lang w:eastAsia="en-US" w:val="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styleId="CommentTextChar" w:customStyle="1">
    <w:name w:val="Comment Text Char"/>
    <w:link w:val="CommentText"/>
    <w:rsid w:val="009B69BE"/>
    <w:rPr>
      <w:snapToGrid w:val="0"/>
      <w:lang w:eastAsia="en-US" w:val="en-US"/>
    </w:rPr>
  </w:style>
  <w:style w:type="paragraph" w:styleId="CommentSubject">
    <w:name w:val="annotation subject"/>
    <w:basedOn w:val="CommentText"/>
    <w:next w:val="CommentText"/>
    <w:link w:val="CommentSubjectChar"/>
    <w:rsid w:val="009B69BE"/>
    <w:rPr>
      <w:b w:val="1"/>
      <w:bCs w:val="1"/>
    </w:rPr>
  </w:style>
  <w:style w:type="character" w:styleId="CommentSubjectChar" w:customStyle="1">
    <w:name w:val="Comment Subject Char"/>
    <w:link w:val="CommentSubject"/>
    <w:rsid w:val="009B69BE"/>
    <w:rPr>
      <w:b w:val="1"/>
      <w:bCs w:val="1"/>
      <w:snapToGrid w:val="0"/>
      <w:lang w:eastAsia="en-US" w:val="en-US"/>
    </w:rPr>
  </w:style>
  <w:style w:type="paragraph" w:styleId="PRAGHeading2" w:customStyle="1">
    <w:name w:val="PRAG Heading 2"/>
    <w:basedOn w:val="Normal"/>
    <w:rsid w:val="00971962"/>
    <w:pPr>
      <w:numPr>
        <w:numId w:val="3"/>
      </w:numPr>
    </w:pPr>
  </w:style>
  <w:style w:type="character" w:styleId="SubtitleChar" w:customStyle="1">
    <w:name w:val="Subtitle Char"/>
    <w:link w:val="Subtitle"/>
    <w:rsid w:val="00A36F1C"/>
    <w:rPr>
      <w:b w:val="1"/>
      <w:sz w:val="28"/>
      <w:lang w:val="fr-BE"/>
    </w:rPr>
  </w:style>
  <w:style w:type="character" w:styleId="FootnoteTextChar" w:customStyle="1">
    <w:name w:val="Footnote Text Char"/>
    <w:link w:val="FootnoteText"/>
    <w:uiPriority w:val="99"/>
    <w:rsid w:val="00B9793F"/>
    <w:rPr>
      <w:snapToGrid w:val="0"/>
      <w:lang w:eastAsia="en-US" w:val="en-US"/>
    </w:rPr>
  </w:style>
  <w:style w:type="character" w:styleId="normaltextrun" w:customStyle="1">
    <w:name w:val="normaltextrun"/>
    <w:rsid w:val="00B9793F"/>
  </w:style>
  <w:style w:type="character" w:styleId="eop" w:customStyle="1">
    <w:name w:val="eop"/>
    <w:rsid w:val="00B9793F"/>
  </w:style>
  <w:style w:type="paragraph" w:styleId="paragraph" w:customStyle="1">
    <w:name w:val="paragraph"/>
    <w:basedOn w:val="Normal"/>
    <w:rsid w:val="00B9793F"/>
    <w:pPr>
      <w:widowControl w:val="1"/>
      <w:spacing w:afterAutospacing="1" w:beforeAutospacing="1"/>
    </w:pPr>
    <w:rPr>
      <w:lang w:eastAsia="fr-BE" w:val="fr-BE"/>
    </w:rPr>
  </w:style>
  <w:style w:type="character" w:styleId="highlight" w:customStyle="1">
    <w:name w:val="highlight"/>
    <w:rsid w:val="00B9793F"/>
    <w:rPr>
      <w:rFonts w:cs="Times New Roman"/>
    </w:rPr>
  </w:style>
  <w:style w:type="paragraph" w:styleId="ListParagraph">
    <w:name w:val="List Paragraph"/>
    <w:basedOn w:val="Normal"/>
    <w:uiPriority w:val="34"/>
    <w:qFormat w:val="1"/>
    <w:rsid w:val="00B9793F"/>
    <w:pPr>
      <w:ind w:left="720"/>
    </w:pPr>
  </w:style>
  <w:style w:type="paragraph" w:styleId="Revision">
    <w:name w:val="Revision"/>
    <w:hidden w:val="1"/>
    <w:uiPriority w:val="99"/>
    <w:semiHidden w:val="1"/>
    <w:rsid w:val="00D97139"/>
    <w:rPr>
      <w:snapToGrid w:val="0"/>
    </w:rPr>
  </w:style>
  <w:style w:type="character" w:styleId="Heading4Char" w:customStyle="1">
    <w:name w:val="Heading 4 Char"/>
    <w:link w:val="Heading4"/>
    <w:semiHidden w:val="1"/>
    <w:rsid w:val="004916FF"/>
    <w:rPr>
      <w:rFonts w:ascii="Calibri" w:cs="Times New Roman" w:eastAsia="Times New Roman" w:hAnsi="Calibri"/>
      <w:b w:val="1"/>
      <w:bCs w:val="1"/>
      <w:snapToGrid w:val="0"/>
      <w:sz w:val="28"/>
      <w:szCs w:val="28"/>
      <w:lang w:eastAsia="en-US" w:val="en-US"/>
    </w:rPr>
  </w:style>
  <w:style w:type="paragraph" w:styleId="Subtitle">
    <w:name w:val="Subtitle"/>
    <w:basedOn w:val="Normal"/>
    <w:next w:val="Normal"/>
    <w:pPr>
      <w:widowControl w:val="1"/>
      <w:spacing w:after="0" w:before="0" w:lineRule="auto"/>
      <w:jc w:val="center"/>
    </w:pPr>
    <w:rPr>
      <w:b w:val="1"/>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ec.europa.eu/budget/graphs/inforeuro.html" TargetMode="External"/><Relationship Id="rId10" Type="http://schemas.openxmlformats.org/officeDocument/2006/relationships/hyperlink" Target="https://wikis.ec.europa.eu/display/ExactExternalWiki/Annexes#Annexes-AnnexesA(Ch.2):General"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ikis.ec.europa.eu/display/ExactExternalWiki/Annexes#Annexes-AnnexesB(Ch.3):Servicecontracts"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1NZ2LFwVMBIjwf5OyxUdLpaBg==">CgMxLjAyDmguZ29ldnhjbmIzaXQwMgxoLjYwYnMxMTM0em8yDmgucWl0a3FjZjY1cHBzOAByITFmWXV1S1NZVll1MzZ0aHFhVkxOZjQxWk5sWktpU01DUA==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2020-04-15T15:51:00Z</dcterms:created>
  <dc:creator>ramatje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GrammarlyDocumentId">
    <vt:lpwstr>ab5000a5301767d732ef619792e88ffbf4bec730f99d1b4cec41393188fc869a</vt:lpwstr>
  </property>
</Properties>
</file>