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SUPPLY CONTRACT NOTICE</w:t>
      </w:r>
    </w:p>
    <w:p w:rsidR="00000000" w:rsidDel="00000000" w:rsidP="00000000" w:rsidRDefault="00000000" w:rsidRPr="00000000" w14:paraId="00000002">
      <w:pPr>
        <w:spacing w:after="0" w:lineRule="auto"/>
        <w:jc w:val="center"/>
        <w:rPr>
          <w:sz w:val="28"/>
          <w:szCs w:val="28"/>
        </w:rPr>
      </w:pPr>
      <w:bookmarkStart w:colFirst="0" w:colLast="0" w:name="_heading=h.gjdgxs" w:id="0"/>
      <w:bookmarkEnd w:id="0"/>
      <w:r w:rsidDel="00000000" w:rsidR="00000000" w:rsidRPr="00000000">
        <w:rPr>
          <w:b w:val="1"/>
          <w:bCs w:val="1"/>
          <w:sz w:val="28"/>
          <w:szCs w:val="28"/>
          <w:rtl w:val="0"/>
        </w:rPr>
        <w:t xml:space="preserve">Supply of Equipment for the Implementation of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3">
      <w:pPr>
        <w:ind w:left="709" w:hanging="349"/>
        <w:rPr>
          <w:b w:val="1"/>
          <w:bCs w:val="1"/>
          <w:sz w:val="22"/>
          <w:szCs w:val="22"/>
        </w:rPr>
      </w:pPr>
      <w:r w:rsidDel="00000000" w:rsidR="00000000" w:rsidRPr="00000000">
        <w:rPr>
          <w:rtl w:val="0"/>
        </w:rPr>
      </w:r>
    </w:p>
    <w:p w:rsidR="00000000" w:rsidDel="00000000" w:rsidP="00000000" w:rsidRDefault="00000000" w:rsidRPr="00000000" w14:paraId="00000004">
      <w:pPr>
        <w:ind w:left="709" w:hanging="349"/>
        <w:rPr>
          <w:sz w:val="22"/>
          <w:szCs w:val="22"/>
        </w:rPr>
      </w:pPr>
      <w:r w:rsidDel="00000000" w:rsidR="00000000" w:rsidRPr="00000000">
        <w:rPr>
          <w:b w:val="1"/>
          <w:bCs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IPA III/2024/457-197/TK-0</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06">
      <w:pPr>
        <w:ind w:left="709" w:hanging="349"/>
        <w:rPr>
          <w:sz w:val="22"/>
          <w:szCs w:val="22"/>
        </w:rPr>
      </w:pPr>
      <w:r w:rsidDel="00000000" w:rsidR="00000000" w:rsidRPr="00000000">
        <w:rPr>
          <w:b w:val="1"/>
          <w:bCs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57" w:right="35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Simplified </w:t>
      </w:r>
    </w:p>
    <w:p w:rsidR="00000000" w:rsidDel="00000000" w:rsidP="00000000" w:rsidRDefault="00000000" w:rsidRPr="00000000" w14:paraId="00000008">
      <w:pPr>
        <w:ind w:left="709" w:hanging="349"/>
        <w:rPr>
          <w:b w:val="1"/>
          <w:bCs w:val="1"/>
          <w:sz w:val="22"/>
          <w:szCs w:val="22"/>
        </w:rPr>
      </w:pPr>
      <w:r w:rsidDel="00000000" w:rsidR="00000000" w:rsidRPr="00000000">
        <w:rPr>
          <w:b w:val="1"/>
          <w:bCs w:val="1"/>
          <w:sz w:val="22"/>
          <w:szCs w:val="22"/>
          <w:rtl w:val="0"/>
        </w:rPr>
        <w:t xml:space="preserve">3. </w:t>
        <w:tab/>
        <w:t xml:space="preserve">Programme title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2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Instrument for Pre-accession Assistance (IPA) III – Performance</w:t>
      </w:r>
      <w:r w:rsidDel="00000000" w:rsidR="00000000" w:rsidRPr="00000000">
        <w:rPr>
          <w:rtl w:val="0"/>
        </w:rPr>
      </w:r>
    </w:p>
    <w:p w:rsidR="00000000" w:rsidDel="00000000" w:rsidP="00000000" w:rsidRDefault="00000000" w:rsidRPr="00000000" w14:paraId="0000000A">
      <w:pPr>
        <w:ind w:left="709" w:hanging="349"/>
        <w:rPr>
          <w:sz w:val="22"/>
          <w:szCs w:val="22"/>
        </w:rPr>
      </w:pPr>
      <w:r w:rsidDel="00000000" w:rsidR="00000000" w:rsidRPr="00000000">
        <w:rPr>
          <w:b w:val="1"/>
          <w:bCs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European Union</w:t>
      </w:r>
    </w:p>
    <w:p w:rsidR="00000000" w:rsidDel="00000000" w:rsidP="00000000" w:rsidRDefault="00000000" w:rsidRPr="00000000" w14:paraId="0000000C">
      <w:pPr>
        <w:ind w:left="709" w:hanging="349"/>
        <w:rPr>
          <w:sz w:val="22"/>
          <w:szCs w:val="22"/>
        </w:rPr>
      </w:pPr>
      <w:r w:rsidDel="00000000" w:rsidR="00000000" w:rsidRPr="00000000">
        <w:rPr>
          <w:b w:val="1"/>
          <w:bCs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D">
      <w:pPr>
        <w:ind w:left="357" w:right="357" w:firstLine="0"/>
        <w:jc w:val="both"/>
        <w:rPr>
          <w:i w:val="0"/>
          <w:iCs w:val="0"/>
          <w:sz w:val="22"/>
          <w:szCs w:val="22"/>
          <w:highlight w:val="white"/>
        </w:rPr>
      </w:pPr>
      <w:r w:rsidDel="00000000" w:rsidR="00000000" w:rsidRPr="00000000">
        <w:rPr>
          <w:sz w:val="22"/>
          <w:szCs w:val="22"/>
          <w:rtl w:val="0"/>
        </w:rPr>
        <w:t xml:space="preserve">Roma Entrepreneurship Development Initiative REDI </w:t>
      </w:r>
      <w:r w:rsidDel="00000000" w:rsidR="00000000" w:rsidRPr="00000000">
        <w:rPr>
          <w:i w:val="0"/>
          <w:iCs w:val="0"/>
          <w:sz w:val="22"/>
          <w:szCs w:val="22"/>
          <w:highlight w:val="white"/>
          <w:rtl w:val="0"/>
        </w:rPr>
        <w:t xml:space="preserve">Turkiye (</w:t>
      </w:r>
      <w:r w:rsidDel="00000000" w:rsidR="00000000" w:rsidRPr="00000000">
        <w:rPr>
          <w:sz w:val="22"/>
          <w:szCs w:val="22"/>
          <w:highlight w:val="white"/>
          <w:rtl w:val="0"/>
        </w:rPr>
        <w:t xml:space="preserve">ROMAN GİRİŞİMCİLİĞİNİ GELİŞTİRME İNİSİYATİFİ DERNEĞİ</w:t>
      </w:r>
      <w:r w:rsidDel="00000000" w:rsidR="00000000" w:rsidRPr="00000000">
        <w:rPr>
          <w:i w:val="0"/>
          <w:iCs w:val="0"/>
          <w:sz w:val="22"/>
          <w:szCs w:val="22"/>
          <w:highlight w:val="white"/>
          <w:rtl w:val="0"/>
        </w:rPr>
        <w:t xml:space="preserve">)</w:t>
      </w:r>
    </w:p>
    <w:p w:rsidR="00000000" w:rsidDel="00000000" w:rsidP="00000000" w:rsidRDefault="00000000" w:rsidRPr="00000000" w14:paraId="0000000E">
      <w:pPr>
        <w:jc w:val="center"/>
        <w:rPr>
          <w:sz w:val="28"/>
          <w:szCs w:val="28"/>
        </w:rPr>
      </w:pPr>
      <w:r w:rsidDel="00000000" w:rsidR="00000000" w:rsidRPr="00000000">
        <w:rPr>
          <w:b w:val="1"/>
          <w:bCs w:val="1"/>
          <w:sz w:val="28"/>
          <w:szCs w:val="28"/>
          <w:rtl w:val="0"/>
        </w:rPr>
        <w:t xml:space="preserve">CONTRACT SPECIFICATION</w:t>
      </w:r>
      <w:r w:rsidDel="00000000" w:rsidR="00000000" w:rsidRPr="00000000">
        <w:rPr>
          <w:rtl w:val="0"/>
        </w:rPr>
      </w:r>
    </w:p>
    <w:p w:rsidR="00000000" w:rsidDel="00000000" w:rsidP="00000000" w:rsidRDefault="00000000" w:rsidRPr="00000000" w14:paraId="0000000F">
      <w:pPr>
        <w:ind w:left="709" w:hanging="349"/>
        <w:rPr>
          <w:sz w:val="22"/>
          <w:szCs w:val="22"/>
        </w:rPr>
      </w:pPr>
      <w:r w:rsidDel="00000000" w:rsidR="00000000" w:rsidRPr="00000000">
        <w:rPr>
          <w:b w:val="1"/>
          <w:bCs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unit-price</w:t>
      </w:r>
      <w:r w:rsidDel="00000000" w:rsidR="00000000" w:rsidRPr="00000000">
        <w:rPr>
          <w:rtl w:val="0"/>
        </w:rPr>
      </w:r>
    </w:p>
    <w:p w:rsidR="00000000" w:rsidDel="00000000" w:rsidP="00000000" w:rsidRDefault="00000000" w:rsidRPr="00000000" w14:paraId="00000011">
      <w:pPr>
        <w:ind w:left="709" w:hanging="352"/>
        <w:rPr>
          <w:sz w:val="22"/>
          <w:szCs w:val="22"/>
        </w:rPr>
      </w:pPr>
      <w:r w:rsidDel="00000000" w:rsidR="00000000" w:rsidRPr="00000000">
        <w:rPr>
          <w:b w:val="1"/>
          <w:bCs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Supply of:</w:t>
      </w:r>
    </w:p>
    <w:p w:rsidR="00000000" w:rsidDel="00000000" w:rsidP="00000000" w:rsidRDefault="00000000" w:rsidRPr="00000000" w14:paraId="0000001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00" w:before="100" w:line="240" w:lineRule="auto"/>
        <w:ind w:left="108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laptops,</w:t>
      </w:r>
    </w:p>
    <w:p w:rsidR="00000000" w:rsidDel="00000000" w:rsidP="00000000" w:rsidRDefault="00000000" w:rsidRPr="00000000" w14:paraId="0000001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00" w:before="100" w:line="240" w:lineRule="auto"/>
        <w:ind w:left="108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mobile phones,</w:t>
      </w:r>
    </w:p>
    <w:p w:rsidR="00000000" w:rsidDel="00000000" w:rsidP="00000000" w:rsidRDefault="00000000" w:rsidRPr="00000000" w14:paraId="00000015">
      <w:pPr>
        <w:ind w:left="709" w:hanging="349"/>
        <w:rPr>
          <w:sz w:val="22"/>
          <w:szCs w:val="22"/>
        </w:rPr>
      </w:pPr>
      <w:r w:rsidDel="00000000" w:rsidR="00000000" w:rsidRPr="00000000">
        <w:rPr>
          <w:b w:val="1"/>
          <w:bCs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6">
      <w:pPr>
        <w:ind w:left="709" w:hanging="349"/>
        <w:rPr>
          <w:sz w:val="22"/>
          <w:szCs w:val="22"/>
        </w:rPr>
      </w:pPr>
      <w:r w:rsidDel="00000000" w:rsidR="00000000" w:rsidRPr="00000000">
        <w:rPr>
          <w:i w:val="0"/>
          <w:iCs w:val="0"/>
          <w:sz w:val="22"/>
          <w:szCs w:val="22"/>
          <w:rtl w:val="0"/>
        </w:rPr>
        <w:tab/>
      </w:r>
      <w:r w:rsidDel="00000000" w:rsidR="00000000" w:rsidRPr="00000000">
        <w:rPr>
          <w:sz w:val="22"/>
          <w:szCs w:val="22"/>
          <w:rtl w:val="0"/>
        </w:rPr>
        <w:t xml:space="preserve">This tender procedure is not divided into lots.</w:t>
      </w:r>
    </w:p>
    <w:p w:rsidR="00000000" w:rsidDel="00000000" w:rsidP="00000000" w:rsidRDefault="00000000" w:rsidRPr="00000000" w14:paraId="00000017">
      <w:pPr>
        <w:ind w:left="709" w:hanging="349"/>
        <w:rPr>
          <w:i w:val="0"/>
          <w:iCs w:val="0"/>
          <w:sz w:val="22"/>
          <w:szCs w:val="22"/>
        </w:rPr>
      </w:pPr>
      <w:r w:rsidDel="00000000" w:rsidR="00000000" w:rsidRPr="00000000">
        <w:rPr>
          <w:i w:val="0"/>
          <w:iCs w:val="0"/>
          <w:sz w:val="22"/>
          <w:szCs w:val="22"/>
          <w:rtl w:val="0"/>
        </w:rPr>
        <w:t xml:space="preserve"> </w:t>
      </w:r>
    </w:p>
    <w:p w:rsidR="00000000" w:rsidDel="00000000" w:rsidP="00000000" w:rsidRDefault="00000000" w:rsidRPr="00000000" w14:paraId="00000018">
      <w:pPr>
        <w:jc w:val="center"/>
        <w:rPr>
          <w:sz w:val="28"/>
          <w:szCs w:val="28"/>
        </w:rPr>
      </w:pPr>
      <w:r w:rsidDel="00000000" w:rsidR="00000000" w:rsidRPr="00000000">
        <w:rPr>
          <w:b w:val="1"/>
          <w:bCs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42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b w:val="1"/>
          <w:bCs w:val="1"/>
          <w:sz w:val="22"/>
          <w:szCs w:val="22"/>
          <w:rtl w:val="0"/>
        </w:rPr>
        <w:t xml:space="preserve">9</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Legal basis, eligibility and rules of origin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legal basis of this procedure is Regulation (EU) No 1529</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establishing the Instrument for Pre-accession Assistance (IPA III).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Annex A2 of the practical guide.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ind w:left="709" w:hanging="349"/>
        <w:rPr>
          <w:sz w:val="22"/>
          <w:szCs w:val="22"/>
        </w:rPr>
      </w:pPr>
      <w:bookmarkStart w:colFirst="0" w:colLast="0" w:name="_heading=h.1fob9te" w:id="1"/>
      <w:bookmarkEnd w:id="1"/>
      <w:r w:rsidDel="00000000" w:rsidR="00000000" w:rsidRPr="00000000">
        <w:rPr>
          <w:b w:val="1"/>
          <w:bCs w:val="1"/>
          <w:sz w:val="22"/>
          <w:szCs w:val="22"/>
          <w:rtl w:val="0"/>
        </w:rPr>
        <w:t xml:space="preserve">10. </w:t>
        <w:tab/>
        <w:t xml:space="preserve">Number of tenders</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3znysh7" w:id="2"/>
      <w:bookmarkEnd w:id="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tenderer may submit a tender for one lot only, several lots or all of the lots, but only one tender per lot. Contracts will be awarded lot by lot and each lot will form a separate contract. </w:t>
      </w:r>
    </w:p>
    <w:p w:rsidR="00000000" w:rsidDel="00000000" w:rsidP="00000000" w:rsidRDefault="00000000" w:rsidRPr="00000000" w14:paraId="00000021">
      <w:pPr>
        <w:widowControl w:val="1"/>
        <w:ind w:left="360" w:right="26" w:firstLine="0"/>
        <w:jc w:val="both"/>
        <w:rPr>
          <w:sz w:val="22"/>
          <w:szCs w:val="22"/>
        </w:rPr>
      </w:pPr>
      <w:r w:rsidDel="00000000" w:rsidR="00000000" w:rsidRPr="00000000">
        <w:rPr>
          <w:sz w:val="22"/>
          <w:szCs w:val="22"/>
          <w:rtl w:val="0"/>
        </w:rPr>
        <w:t xml:space="preserve">Any tenderer may state in its tender that it would offer a discount in the event that its tender is accepted for more than one lot.</w:t>
      </w:r>
    </w:p>
    <w:p w:rsidR="00000000" w:rsidDel="00000000" w:rsidP="00000000" w:rsidRDefault="00000000" w:rsidRPr="00000000" w14:paraId="00000022">
      <w:pPr>
        <w:ind w:left="709" w:hanging="349"/>
        <w:rPr>
          <w:sz w:val="22"/>
          <w:szCs w:val="22"/>
        </w:rPr>
      </w:pPr>
      <w:r w:rsidDel="00000000" w:rsidR="00000000" w:rsidRPr="00000000">
        <w:rPr>
          <w:b w:val="1"/>
          <w:bCs w:val="1"/>
          <w:sz w:val="22"/>
          <w:szCs w:val="22"/>
          <w:rtl w:val="0"/>
        </w:rPr>
        <w:t xml:space="preserve">11. </w:t>
        <w:tab/>
        <w:t xml:space="preserve">Grounds for exclusion</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25">
      <w:pPr>
        <w:ind w:left="709" w:hanging="349"/>
        <w:rPr>
          <w:sz w:val="22"/>
          <w:szCs w:val="22"/>
        </w:rPr>
      </w:pPr>
      <w:r w:rsidDel="00000000" w:rsidR="00000000" w:rsidRPr="00000000">
        <w:rPr>
          <w:b w:val="1"/>
          <w:bCs w:val="1"/>
          <w:sz w:val="22"/>
          <w:szCs w:val="22"/>
          <w:rtl w:val="0"/>
        </w:rPr>
        <w:t xml:space="preserve">12. </w:t>
        <w:tab/>
        <w:t xml:space="preserve">Sub-contracting</w:t>
      </w:r>
      <w:r w:rsidDel="00000000" w:rsidR="00000000" w:rsidRPr="00000000">
        <w:rPr>
          <w:rtl w:val="0"/>
        </w:rPr>
      </w:r>
    </w:p>
    <w:p w:rsidR="00000000" w:rsidDel="00000000" w:rsidP="00000000" w:rsidRDefault="00000000" w:rsidRPr="00000000" w14:paraId="00000026">
      <w:pPr>
        <w:ind w:left="709" w:hanging="349"/>
        <w:rPr>
          <w:i w:val="0"/>
          <w:iCs w:val="0"/>
          <w:sz w:val="22"/>
          <w:szCs w:val="22"/>
        </w:rPr>
      </w:pPr>
      <w:r w:rsidDel="00000000" w:rsidR="00000000" w:rsidRPr="00000000">
        <w:rPr>
          <w:i w:val="0"/>
          <w:iCs w:val="0"/>
          <w:sz w:val="22"/>
          <w:szCs w:val="22"/>
          <w:rtl w:val="0"/>
        </w:rPr>
        <w:t xml:space="preserve">Subcontracting is allowed.</w:t>
      </w:r>
    </w:p>
    <w:p w:rsidR="00000000" w:rsidDel="00000000" w:rsidP="00000000" w:rsidRDefault="00000000" w:rsidRPr="00000000" w14:paraId="00000027">
      <w:pPr>
        <w:widowControl w:val="1"/>
        <w:spacing w:after="0" w:before="0" w:lineRule="auto"/>
        <w:rPr>
          <w:sz w:val="22"/>
          <w:szCs w:val="22"/>
        </w:rPr>
      </w:pPr>
      <w:r w:rsidDel="00000000" w:rsidR="00000000" w:rsidRPr="00000000">
        <w:rPr>
          <w:rtl w:val="0"/>
        </w:rPr>
      </w:r>
    </w:p>
    <w:p w:rsidR="00000000" w:rsidDel="00000000" w:rsidP="00000000" w:rsidRDefault="00000000" w:rsidRPr="00000000" w14:paraId="00000028">
      <w:pPr>
        <w:widowControl w:val="1"/>
        <w:spacing w:after="0" w:before="0" w:lineRule="auto"/>
        <w:jc w:val="center"/>
        <w:rPr>
          <w:sz w:val="28"/>
          <w:szCs w:val="28"/>
        </w:rPr>
      </w:pPr>
      <w:r w:rsidDel="00000000" w:rsidR="00000000" w:rsidRPr="00000000">
        <w:rPr>
          <w:b w:val="1"/>
          <w:bCs w:val="1"/>
          <w:sz w:val="28"/>
          <w:szCs w:val="28"/>
          <w:rtl w:val="0"/>
        </w:rPr>
        <w:t xml:space="preserve">PROVISIONAL TIMETABLE</w:t>
      </w:r>
      <w:r w:rsidDel="00000000" w:rsidR="00000000" w:rsidRPr="00000000">
        <w:rPr>
          <w:rtl w:val="0"/>
        </w:rPr>
      </w:r>
    </w:p>
    <w:p w:rsidR="00000000" w:rsidDel="00000000" w:rsidP="00000000" w:rsidRDefault="00000000" w:rsidRPr="00000000" w14:paraId="00000029">
      <w:pPr>
        <w:ind w:left="709" w:hanging="349"/>
        <w:rPr>
          <w:sz w:val="22"/>
          <w:szCs w:val="22"/>
        </w:rPr>
      </w:pPr>
      <w:r w:rsidDel="00000000" w:rsidR="00000000" w:rsidRPr="00000000">
        <w:rPr>
          <w:b w:val="1"/>
          <w:bCs w:val="1"/>
          <w:sz w:val="22"/>
          <w:szCs w:val="22"/>
          <w:rtl w:val="0"/>
        </w:rPr>
        <w:t xml:space="preserve">13. </w:t>
        <w:tab/>
        <w:t xml:space="preserve">Provisional commencement date of the contract</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sz w:val="22"/>
          <w:szCs w:val="22"/>
          <w:highlight w:val="white"/>
          <w:u w:val="none"/>
        </w:rPr>
      </w:pPr>
      <w:r w:rsidDel="00000000" w:rsidR="00000000" w:rsidRPr="00000000">
        <w:rPr>
          <w:sz w:val="22"/>
          <w:szCs w:val="22"/>
          <w:highlight w:val="white"/>
          <w:rtl w:val="0"/>
        </w:rPr>
        <w:t xml:space="preserve">a total maximum of 60 calendar days</w:t>
      </w:r>
      <w:r w:rsidDel="00000000" w:rsidR="00000000" w:rsidRPr="00000000">
        <w:rPr>
          <w:rtl w:val="0"/>
        </w:rPr>
      </w:r>
    </w:p>
    <w:p w:rsidR="00000000" w:rsidDel="00000000" w:rsidP="00000000" w:rsidRDefault="00000000" w:rsidRPr="00000000" w14:paraId="0000002B">
      <w:pPr>
        <w:ind w:left="709" w:hanging="349"/>
        <w:rPr>
          <w:sz w:val="22"/>
          <w:szCs w:val="22"/>
          <w:highlight w:val="white"/>
        </w:rPr>
      </w:pPr>
      <w:r w:rsidDel="00000000" w:rsidR="00000000" w:rsidRPr="00000000">
        <w:rPr>
          <w:b w:val="1"/>
          <w:bCs w:val="1"/>
          <w:sz w:val="22"/>
          <w:szCs w:val="22"/>
          <w:highlight w:val="white"/>
          <w:rtl w:val="0"/>
        </w:rPr>
        <w:t xml:space="preserve">14. </w:t>
        <w:tab/>
        <w:t xml:space="preserve">Implementation period of the tasks </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 total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30 calendar days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360" w:firstLine="0"/>
        <w:jc w:val="both"/>
        <w:rPr>
          <w:sz w:val="22"/>
          <w:szCs w:val="22"/>
          <w:highlight w:val="white"/>
        </w:rPr>
      </w:pPr>
      <w:r w:rsidDel="00000000" w:rsidR="00000000" w:rsidRPr="00000000">
        <w:rPr>
          <w:rtl w:val="0"/>
        </w:rPr>
      </w:r>
    </w:p>
    <w:p w:rsidR="00000000" w:rsidDel="00000000" w:rsidP="00000000" w:rsidRDefault="00000000" w:rsidRPr="00000000" w14:paraId="0000002E">
      <w:pPr>
        <w:jc w:val="center"/>
        <w:rPr>
          <w:sz w:val="28"/>
          <w:szCs w:val="28"/>
        </w:rPr>
      </w:pPr>
      <w:r w:rsidDel="00000000" w:rsidR="00000000" w:rsidRPr="00000000">
        <w:rPr>
          <w:b w:val="1"/>
          <w:bCs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2F">
      <w:pPr>
        <w:ind w:left="709" w:hanging="349"/>
        <w:rPr>
          <w:b w:val="1"/>
          <w:bCs w:val="1"/>
          <w:sz w:val="22"/>
          <w:szCs w:val="22"/>
        </w:rPr>
      </w:pPr>
      <w:r w:rsidDel="00000000" w:rsidR="00000000" w:rsidRPr="00000000">
        <w:rPr>
          <w:b w:val="1"/>
          <w:bCs w:val="1"/>
          <w:sz w:val="22"/>
          <w:szCs w:val="22"/>
          <w:rtl w:val="0"/>
        </w:rPr>
        <w:t xml:space="preserve">15. </w:t>
        <w:tab/>
        <w:t xml:space="preserve">Selection criteria</w:t>
      </w:r>
    </w:p>
    <w:p w:rsidR="00000000" w:rsidDel="00000000" w:rsidP="00000000" w:rsidRDefault="00000000" w:rsidRPr="00000000" w14:paraId="00000030">
      <w:pPr>
        <w:widowControl w:val="1"/>
        <w:spacing w:after="0" w:before="240" w:lineRule="auto"/>
        <w:ind w:left="426" w:firstLine="0"/>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1">
      <w:pPr>
        <w:widowControl w:val="1"/>
        <w:spacing w:after="0" w:before="240" w:lineRule="auto"/>
        <w:ind w:left="426" w:firstLine="0"/>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bCs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2">
      <w:pPr>
        <w:widowControl w:val="1"/>
        <w:spacing w:after="0" w:before="240" w:lineRule="auto"/>
        <w:ind w:left="426" w:firstLine="0"/>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33">
      <w:pPr>
        <w:widowControl w:val="1"/>
        <w:spacing w:after="0" w:before="240" w:lineRule="auto"/>
        <w:ind w:left="426" w:firstLine="0"/>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following selection criteria will be applied to the tenderers. In the case of tenders submitted by a consortium, these selection criteria will be applied to the consortium as a whole if not specified otherwise. The selection criteria will not be applied to natural persons and single-member companies when they are sub-contractors.</w:t>
      </w:r>
    </w:p>
    <w:p w:rsidR="00000000" w:rsidDel="00000000" w:rsidP="00000000" w:rsidRDefault="00000000" w:rsidRPr="00000000" w14:paraId="000000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00" w:before="100" w:line="240" w:lineRule="auto"/>
        <w:ind w:left="717" w:right="357"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Economic and financial capacity of the tenderer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(based on item 3 of the tender form).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57" w:right="35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selection criteria for each tenderer are as follows:</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14" w:right="357" w:hanging="35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will not be economically dependent on the contracting authority in the event that the contract is awarded to it;</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sufficient financial stability to handle the proposed contract;</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average annual turnover of the tenderer for the last three financial years must exceed the annualised maximum budget of the contract i.e. the maximum budget stated in the contract notice divided by the initial contract duration in years, where this exceeds 1 year (minimum annual turnover requested may not exceed 2 times the estimated annual contract value, except in duly justified cases motivated in the tender dossier); and</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Current ratio (current assets/current liabilities) in the last year for which accounts have been closed must be at least 1. In case of a consortium this criterion must be fulfilled by each member.</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641" w:right="357"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Professional capacity of the tenderer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(based on item 4 of the tender form).</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57" w:hanging="2.999999999999971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reference period which will be taken into account will be the last three years preceding the submission deadline.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objective of this criterion is to examine whether or not the tenderer (i.e. the consortium as a whole, in the case of a tenderer from a consortium) has sufficient ongoing staff resources and expertise to be able to handle the proposed contract.</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two staff members currently work for the tenderer in fields related to this contract.</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357"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3)</w:t>
        <w:tab/>
        <w:t xml:space="preserve">Technical capacity of tenderer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(based on items 5 and 6 of the tender form). The reference period which will be taken into account will be the last three years preceding the submission deadline.</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9"/>
        </w:tabs>
        <w:spacing w:after="100" w:before="100" w:line="240" w:lineRule="auto"/>
        <w:ind w:left="360" w:right="36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tenderer has delivered supplies under at l</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east five co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ntracts each with a budget of at least that of this contract in IT equipment which were implemented at any moment during the following period:</w:t>
      </w:r>
      <w:r w:rsidDel="00000000" w:rsidR="00000000" w:rsidRPr="00000000">
        <w:rPr>
          <w:rFonts w:ascii="Times New Roman" w:cs="Times New Roman" w:eastAsia="Times New Roman" w:hAnsi="Times New Roman"/>
          <w:b w:val="0"/>
          <w:bCs w:val="0"/>
          <w:i w:val="0"/>
          <w:iCs w:val="0"/>
          <w:smallCaps w:val="0"/>
          <w:strike w:val="0"/>
          <w:color w:val="98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last</w:t>
      </w:r>
      <w:r w:rsidDel="00000000" w:rsidR="00000000" w:rsidRPr="00000000">
        <w:rPr>
          <w:rFonts w:ascii="Times New Roman" w:cs="Times New Roman" w:eastAsia="Times New Roman" w:hAnsi="Times New Roman"/>
          <w:b w:val="0"/>
          <w:bCs w:val="0"/>
          <w:i w:val="0"/>
          <w:iCs w:val="0"/>
          <w:smallCaps w:val="0"/>
          <w:strike w:val="0"/>
          <w:sz w:val="22"/>
          <w:szCs w:val="22"/>
          <w:highlight w:val="white"/>
          <w:u w:val="none"/>
          <w:vertAlign w:val="baseline"/>
          <w:rtl w:val="0"/>
        </w:rPr>
        <w:t xml:space="preserve"> </w:t>
      </w:r>
      <w:r w:rsidDel="00000000" w:rsidR="00000000" w:rsidRPr="00000000">
        <w:rPr>
          <w:b w:val="1"/>
          <w:bCs w:val="1"/>
          <w:sz w:val="22"/>
          <w:szCs w:val="22"/>
          <w:highlight w:val="white"/>
          <w:rtl w:val="0"/>
        </w:rPr>
        <w:t xml:space="preserve">3 years.</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means that the contract the tenderer refers to could have been started 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tenderer has implemented the supply contract in a consortium, the percentage that the tenderer has successfully completed must be clear from the documentary evidence, together with a description of the nature of the supplies provided if the selection criteria relating to the pertinence of the experience have been used.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Previous experience which would have led to breach of contract and termination by a contracting authority shall not be used as reference.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sz w:val="22"/>
          <w:szCs w:val="22"/>
        </w:rPr>
      </w:pPr>
      <w:r w:rsidDel="00000000" w:rsidR="00000000" w:rsidRPr="00000000">
        <w:rPr>
          <w:rtl w:val="0"/>
        </w:rPr>
      </w:r>
    </w:p>
    <w:p w:rsidR="00000000" w:rsidDel="00000000" w:rsidP="00000000" w:rsidRDefault="00000000" w:rsidRPr="00000000" w14:paraId="00000044">
      <w:pPr>
        <w:ind w:left="709" w:hanging="349"/>
        <w:rPr>
          <w:sz w:val="22"/>
          <w:szCs w:val="22"/>
        </w:rPr>
      </w:pPr>
      <w:r w:rsidDel="00000000" w:rsidR="00000000" w:rsidRPr="00000000">
        <w:rPr>
          <w:b w:val="1"/>
          <w:bCs w:val="1"/>
          <w:sz w:val="22"/>
          <w:szCs w:val="22"/>
          <w:rtl w:val="0"/>
        </w:rPr>
        <w:t xml:space="preserve">16. </w:t>
        <w:tab/>
        <w:t xml:space="preserve">Award criteria</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426" w:right="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Price/unit, smallest price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keepNext w:val="1"/>
        <w:jc w:val="center"/>
        <w:rPr>
          <w:sz w:val="28"/>
          <w:szCs w:val="28"/>
        </w:rPr>
      </w:pPr>
      <w:r w:rsidDel="00000000" w:rsidR="00000000" w:rsidRPr="00000000">
        <w:rPr>
          <w:b w:val="1"/>
          <w:bCs w:val="1"/>
          <w:sz w:val="28"/>
          <w:szCs w:val="28"/>
          <w:rtl w:val="0"/>
        </w:rPr>
        <w:t xml:space="preserve">TENDERING</w:t>
      </w:r>
      <w:r w:rsidDel="00000000" w:rsidR="00000000" w:rsidRPr="00000000">
        <w:rPr>
          <w:rtl w:val="0"/>
        </w:rPr>
      </w:r>
    </w:p>
    <w:p w:rsidR="00000000" w:rsidDel="00000000" w:rsidP="00000000" w:rsidRDefault="00000000" w:rsidRPr="00000000" w14:paraId="00000048">
      <w:pPr>
        <w:keepNext w:val="1"/>
        <w:ind w:left="709" w:hanging="352"/>
        <w:rPr>
          <w:sz w:val="22"/>
          <w:szCs w:val="22"/>
        </w:rPr>
      </w:pPr>
      <w:r w:rsidDel="00000000" w:rsidR="00000000" w:rsidRPr="00000000">
        <w:rPr>
          <w:b w:val="1"/>
          <w:bCs w:val="1"/>
          <w:sz w:val="22"/>
          <w:szCs w:val="22"/>
          <w:rtl w:val="0"/>
        </w:rPr>
        <w:t xml:space="preserve">17. </w:t>
        <w:tab/>
        <w:t xml:space="preserve">Deadline for submission of tenders</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b w:val="1"/>
          <w:bCs w:val="1"/>
          <w:i w:val="1"/>
          <w:iCs w:val="1"/>
          <w:smallCaps w:val="0"/>
          <w:strike w:val="0"/>
          <w:highlight w:val="white"/>
          <w:u w:val="none"/>
          <w:vertAlign w:val="baseline"/>
        </w:rPr>
      </w:pPr>
      <w:bookmarkStart w:colFirst="0" w:colLast="0" w:name="_heading=h.2et92p0" w:id="3"/>
      <w:bookmarkEnd w:id="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deadline for submission of tenders is </w:t>
      </w:r>
      <w:r w:rsidDel="00000000" w:rsidR="00000000" w:rsidRPr="00000000">
        <w:rPr>
          <w:sz w:val="22"/>
          <w:szCs w:val="22"/>
          <w:highlight w:val="white"/>
          <w:rtl w:val="0"/>
        </w:rPr>
        <w:t xml:space="preserve">30 days from the date of publishing. If the deadline is a non-working day, the period will be extended until the next working day.</w:t>
      </w:r>
      <w:r w:rsidDel="00000000" w:rsidR="00000000" w:rsidRPr="00000000">
        <w:rPr>
          <w:rtl w:val="0"/>
        </w:rPr>
      </w:r>
    </w:p>
    <w:p w:rsidR="00000000" w:rsidDel="00000000" w:rsidP="00000000" w:rsidRDefault="00000000" w:rsidRPr="00000000" w14:paraId="0000004A">
      <w:pPr>
        <w:ind w:left="709" w:hanging="349"/>
        <w:rPr>
          <w:sz w:val="22"/>
          <w:szCs w:val="22"/>
        </w:rPr>
      </w:pPr>
      <w:r w:rsidDel="00000000" w:rsidR="00000000" w:rsidRPr="00000000">
        <w:rPr>
          <w:b w:val="1"/>
          <w:bCs w:val="1"/>
          <w:sz w:val="22"/>
          <w:szCs w:val="22"/>
          <w:rtl w:val="0"/>
        </w:rPr>
        <w:t xml:space="preserve">18. </w:t>
        <w:tab/>
        <w:t xml:space="preserve">Tender format and details to be provided</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Tenders must be submitted using the standard tender form.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https://wikis.ec.europa.eu/download/attachments/152798822/a14a_declaration_honour_procurement_en.docx?version=2&amp;modificationDate=1737021464378&amp;api=v2</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additional documentation (brochure, letter, etc.) sent with a tender will not be taken into consideration.</w:t>
      </w:r>
    </w:p>
    <w:p w:rsidR="00000000" w:rsidDel="00000000" w:rsidP="00000000" w:rsidRDefault="00000000" w:rsidRPr="00000000" w14:paraId="0000004F">
      <w:pPr>
        <w:ind w:left="709" w:hanging="349"/>
        <w:rPr>
          <w:sz w:val="22"/>
          <w:szCs w:val="22"/>
        </w:rPr>
      </w:pPr>
      <w:r w:rsidDel="00000000" w:rsidR="00000000" w:rsidRPr="00000000">
        <w:rPr>
          <w:b w:val="1"/>
          <w:bCs w:val="1"/>
          <w:sz w:val="22"/>
          <w:szCs w:val="22"/>
          <w:rtl w:val="0"/>
        </w:rPr>
        <w:t xml:space="preserve">19. </w:t>
        <w:tab/>
        <w:t xml:space="preserve">How tenders may be submitted</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Tenders must be submitted in English exclusively to the contracting authority, using the means specified in point 10 of the instructions to tenderers.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Tenders submitted by any other means will not be considered.</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submitting a </w:t>
      </w:r>
      <w:r w:rsidDel="00000000" w:rsidR="00000000" w:rsidRPr="00000000">
        <w:rPr>
          <w:sz w:val="22"/>
          <w:szCs w:val="22"/>
          <w:rtl w:val="0"/>
        </w:rPr>
        <w:t xml:space="preserve">tender, the tenderer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accepts to receive notification of the outcome of the procedure by electronic means.</w:t>
      </w:r>
    </w:p>
    <w:p w:rsidR="00000000" w:rsidDel="00000000" w:rsidP="00000000" w:rsidRDefault="00000000" w:rsidRPr="00000000" w14:paraId="00000053">
      <w:pPr>
        <w:ind w:left="709" w:hanging="349"/>
        <w:rPr>
          <w:b w:val="1"/>
          <w:bCs w:val="1"/>
          <w:sz w:val="22"/>
          <w:szCs w:val="22"/>
        </w:rPr>
      </w:pPr>
      <w:r w:rsidDel="00000000" w:rsidR="00000000" w:rsidRPr="00000000">
        <w:rPr>
          <w:b w:val="1"/>
          <w:bCs w:val="1"/>
          <w:sz w:val="22"/>
          <w:szCs w:val="22"/>
          <w:rtl w:val="0"/>
        </w:rPr>
        <w:t xml:space="preserve">20.</w:t>
        <w:tab/>
        <w:t xml:space="preserve">Alteration or withdrawal of tenders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such notification of alteration or withdrawal shall be prepared and submitted in accordance with point 15 of the instructions to tenderers. </w:t>
      </w:r>
    </w:p>
    <w:p w:rsidR="00000000" w:rsidDel="00000000" w:rsidP="00000000" w:rsidRDefault="00000000" w:rsidRPr="00000000" w14:paraId="00000056">
      <w:pPr>
        <w:keepNext w:val="1"/>
        <w:ind w:left="709" w:hanging="352"/>
        <w:rPr>
          <w:sz w:val="22"/>
          <w:szCs w:val="22"/>
        </w:rPr>
      </w:pPr>
      <w:r w:rsidDel="00000000" w:rsidR="00000000" w:rsidRPr="00000000">
        <w:rPr>
          <w:b w:val="1"/>
          <w:bCs w:val="1"/>
          <w:sz w:val="22"/>
          <w:szCs w:val="22"/>
          <w:rtl w:val="0"/>
        </w:rPr>
        <w:t xml:space="preserve">21. </w:t>
        <w:tab/>
        <w:t xml:space="preserve">Operational language</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r w:rsidDel="00000000" w:rsidR="00000000" w:rsidRPr="00000000">
        <w:rPr>
          <w:b w:val="1"/>
          <w:bCs w:val="1"/>
          <w:sz w:val="22"/>
          <w:szCs w:val="22"/>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Additional information</w:t>
      </w:r>
    </w:p>
    <w:p w:rsidR="00000000" w:rsidDel="00000000" w:rsidP="00000000" w:rsidRDefault="00000000" w:rsidRPr="00000000" w14:paraId="00000059">
      <w:pPr>
        <w:widowControl w:val="1"/>
        <w:spacing w:after="0" w:lineRule="auto"/>
        <w:ind w:left="284" w:right="360" w:firstLine="0"/>
        <w:jc w:val="both"/>
        <w:rPr>
          <w:sz w:val="22"/>
          <w:szCs w:val="22"/>
        </w:rPr>
      </w:pPr>
      <w:r w:rsidDel="00000000" w:rsidR="00000000" w:rsidRPr="00000000">
        <w:rPr>
          <w:sz w:val="22"/>
          <w:szCs w:val="22"/>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the month and year corresponding to the deadline for submitting applications, which can be found at the following address: </w:t>
      </w:r>
      <w:hyperlink r:id="rId9">
        <w:r w:rsidDel="00000000" w:rsidR="00000000" w:rsidRPr="00000000">
          <w:rPr>
            <w:color w:val="0000ff"/>
            <w:sz w:val="22"/>
            <w:szCs w:val="22"/>
            <w:u w:val="single"/>
            <w:rtl w:val="0"/>
          </w:rPr>
          <w:t xml:space="preserve">http://ec.europa.eu/budget/graphs/inforeuro.html</w:t>
        </w:r>
      </w:hyperlink>
      <w:r w:rsidDel="00000000" w:rsidR="00000000" w:rsidRPr="00000000">
        <w:rPr>
          <w:sz w:val="22"/>
          <w:szCs w:val="22"/>
          <w:rtl w:val="0"/>
        </w:rPr>
        <w:t xml:space="preserv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10" w:type="default"/>
      <w:pgSz w:h="15840" w:w="12240" w:orient="portrait"/>
      <w:pgMar w:bottom="1276" w:top="709" w:left="1418"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214"/>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c2_contractnotice_simp_neg_en.doc</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Regulation (EU) 2021/1529 of the European Parliament and of the Council of 15 September 2021 establishing the Instrument for Pre-Accession assistance (IPA III); OJ L 330, 20.9.2021, p. 1–26.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17" w:hanging="360"/>
      </w:pPr>
      <w:rPr>
        <w:b w:val="1"/>
        <w:bCs w:val="1"/>
        <w:u w:val="singl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spacing w:after="100" w:before="1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Vurgu">
    <w:name w:val="Emphasis"/>
    <w:uiPriority w:val="20"/>
    <w:qFormat w:val="1"/>
    <w:rPr>
      <w:i w:val="1"/>
    </w:rPr>
  </w:style>
  <w:style w:type="character" w:styleId="Kpr">
    <w:name w:val="Hyperlink"/>
    <w:rPr>
      <w:color w:val="0000ff"/>
      <w:u w:val="single"/>
    </w:rPr>
  </w:style>
  <w:style w:type="character" w:styleId="zlenenKpr">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FormunAlt">
    <w:name w:val="HTML Bottom of Form"/>
    <w:next w:val="Normal"/>
    <w:hidden w:val="1"/>
    <w:pPr>
      <w:widowControl w:val="0"/>
      <w:pBdr>
        <w:top w:color="000000" w:space="0" w:sz="2" w:val="double"/>
      </w:pBdr>
      <w:jc w:val="center"/>
    </w:pPr>
    <w:rPr>
      <w:rFonts w:ascii="Arial" w:hAnsi="Arial"/>
      <w:snapToGrid w:val="0"/>
      <w:vanish w:val="1"/>
      <w:sz w:val="16"/>
      <w:lang w:eastAsia="en-US" w:val="en-US"/>
    </w:rPr>
  </w:style>
  <w:style w:type="paragraph" w:styleId="z-Formunst">
    <w:name w:val="HTML Top of Form"/>
    <w:next w:val="Normal"/>
    <w:hidden w:val="1"/>
    <w:pPr>
      <w:widowControl w:val="0"/>
      <w:pBdr>
        <w:bottom w:color="000000" w:space="0" w:sz="2" w:val="double"/>
      </w:pBdr>
      <w:jc w:val="center"/>
    </w:pPr>
    <w:rPr>
      <w:rFonts w:ascii="Arial" w:hAnsi="Arial"/>
      <w:snapToGrid w:val="0"/>
      <w:vanish w:val="1"/>
      <w:sz w:val="16"/>
      <w:lang w:eastAsia="en-US" w:val="en-US"/>
    </w:rPr>
  </w:style>
  <w:style w:type="character" w:styleId="Sample" w:customStyle="1">
    <w:name w:val="Sample"/>
    <w:rPr>
      <w:rFonts w:ascii="Courier New" w:hAnsi="Courier New"/>
    </w:rPr>
  </w:style>
  <w:style w:type="character" w:styleId="Gl">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BelgeBalantlar">
    <w:name w:val="Document Map"/>
    <w:basedOn w:val="Normal"/>
    <w:semiHidden w:val="1"/>
    <w:pPr>
      <w:shd w:color="auto" w:fill="000080" w:val="clear"/>
    </w:pPr>
    <w:rPr>
      <w:rFonts w:ascii="Tahoma" w:hAnsi="Tahoma"/>
    </w:rPr>
  </w:style>
  <w:style w:type="paragraph" w:styleId="stBilgi">
    <w:name w:val="header"/>
    <w:basedOn w:val="Normal"/>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rsid w:val="007F095B"/>
  </w:style>
  <w:style w:type="paragraph" w:styleId="GvdeMetni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lang w:val="en-GB"/>
    </w:rPr>
  </w:style>
  <w:style w:type="paragraph" w:styleId="DipnotMetni">
    <w:name w:val="footnote text"/>
    <w:basedOn w:val="Normal"/>
    <w:link w:val="DipnotMetniChar"/>
    <w:uiPriority w:val="99"/>
    <w:rsid w:val="001951FE"/>
    <w:rPr>
      <w:sz w:val="20"/>
    </w:rPr>
  </w:style>
  <w:style w:type="character" w:styleId="DipnotBavurusu">
    <w:name w:val="footnote reference"/>
    <w:uiPriority w:val="99"/>
    <w:qFormat w:val="1"/>
    <w:rsid w:val="001951FE"/>
    <w:rPr>
      <w:vertAlign w:val="superscript"/>
    </w:rPr>
  </w:style>
  <w:style w:type="character" w:styleId="AltBilgiChar" w:customStyle="1">
    <w:name w:val="Alt Bilgi Char"/>
    <w:link w:val="AltBilgi"/>
    <w:rsid w:val="007727F3"/>
    <w:rPr>
      <w:snapToGrid w:val="0"/>
      <w:sz w:val="24"/>
      <w:lang w:eastAsia="en-US" w:val="en-US"/>
    </w:rPr>
  </w:style>
  <w:style w:type="paragraph" w:styleId="BalonMetni">
    <w:name w:val="Balloon Text"/>
    <w:basedOn w:val="Normal"/>
    <w:link w:val="BalonMetniChar"/>
    <w:rsid w:val="00D240C3"/>
    <w:pPr>
      <w:spacing w:after="0" w:before="0"/>
    </w:pPr>
    <w:rPr>
      <w:rFonts w:ascii="Tahoma" w:cs="Tahoma" w:hAnsi="Tahoma"/>
      <w:sz w:val="16"/>
      <w:szCs w:val="16"/>
    </w:rPr>
  </w:style>
  <w:style w:type="character" w:styleId="BalonMetniChar" w:customStyle="1">
    <w:name w:val="Balon Metni Char"/>
    <w:link w:val="BalonMetni"/>
    <w:rsid w:val="00D240C3"/>
    <w:rPr>
      <w:rFonts w:ascii="Tahoma" w:cs="Tahoma" w:hAnsi="Tahoma"/>
      <w:snapToGrid w:val="0"/>
      <w:sz w:val="16"/>
      <w:szCs w:val="16"/>
      <w:lang w:eastAsia="en-US" w:val="en-US"/>
    </w:rPr>
  </w:style>
  <w:style w:type="character" w:styleId="AklamaBavurusu">
    <w:name w:val="annotation reference"/>
    <w:rsid w:val="009B69BE"/>
    <w:rPr>
      <w:sz w:val="16"/>
      <w:szCs w:val="16"/>
    </w:rPr>
  </w:style>
  <w:style w:type="paragraph" w:styleId="AklamaMetni">
    <w:name w:val="annotation text"/>
    <w:basedOn w:val="Normal"/>
    <w:link w:val="AklamaMetniChar"/>
    <w:rsid w:val="009B69BE"/>
    <w:rPr>
      <w:sz w:val="20"/>
    </w:rPr>
  </w:style>
  <w:style w:type="character" w:styleId="AklamaMetniChar" w:customStyle="1">
    <w:name w:val="Açıklama Metni Char"/>
    <w:link w:val="AklamaMetni"/>
    <w:rsid w:val="009B69BE"/>
    <w:rPr>
      <w:snapToGrid w:val="0"/>
      <w:lang w:eastAsia="en-US" w:val="en-US"/>
    </w:rPr>
  </w:style>
  <w:style w:type="paragraph" w:styleId="AklamaKonusu">
    <w:name w:val="annotation subject"/>
    <w:basedOn w:val="AklamaMetni"/>
    <w:next w:val="AklamaMetni"/>
    <w:link w:val="AklamaKonusuChar"/>
    <w:rsid w:val="009B69BE"/>
    <w:rPr>
      <w:b w:val="1"/>
      <w:bCs w:val="1"/>
    </w:rPr>
  </w:style>
  <w:style w:type="character" w:styleId="AklamaKonusuChar" w:customStyle="1">
    <w:name w:val="Açıklama Konusu Char"/>
    <w:link w:val="AklamaKonusu"/>
    <w:rsid w:val="009B69BE"/>
    <w:rPr>
      <w:b w:val="1"/>
      <w:bCs w:val="1"/>
      <w:snapToGrid w:val="0"/>
      <w:lang w:eastAsia="en-US" w:val="en-US"/>
    </w:rPr>
  </w:style>
  <w:style w:type="paragraph" w:styleId="PRAGHeading2" w:customStyle="1">
    <w:name w:val="PRAG Heading 2"/>
    <w:basedOn w:val="Normal"/>
    <w:rsid w:val="00971962"/>
    <w:pPr>
      <w:numPr>
        <w:numId w:val="43"/>
      </w:numPr>
    </w:pPr>
  </w:style>
  <w:style w:type="character" w:styleId="AltyazChar" w:customStyle="1">
    <w:name w:val="Altyazı Char"/>
    <w:link w:val="Altyaz"/>
    <w:rsid w:val="00A36F1C"/>
    <w:rPr>
      <w:b w:val="1"/>
      <w:sz w:val="28"/>
      <w:lang w:val="fr-BE"/>
    </w:rPr>
  </w:style>
  <w:style w:type="character" w:styleId="DipnotMetniChar" w:customStyle="1">
    <w:name w:val="Dipnot Metni Char"/>
    <w:link w:val="DipnotMetni"/>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snapToGrid w:val="1"/>
      <w:szCs w:val="24"/>
      <w:lang w:eastAsia="fr-BE" w:val="fr-BE"/>
    </w:rPr>
  </w:style>
  <w:style w:type="character" w:styleId="highlight" w:customStyle="1">
    <w:name w:val="highlight"/>
    <w:rsid w:val="00B9793F"/>
    <w:rPr>
      <w:rFonts w:cs="Times New Roman"/>
    </w:rPr>
  </w:style>
  <w:style w:type="paragraph" w:styleId="ListeParagraf">
    <w:name w:val="List Paragraph"/>
    <w:basedOn w:val="Normal"/>
    <w:uiPriority w:val="34"/>
    <w:qFormat w:val="1"/>
    <w:rsid w:val="00B9793F"/>
    <w:pPr>
      <w:ind w:left="720"/>
    </w:pPr>
  </w:style>
  <w:style w:type="paragraph" w:styleId="Dzeltme">
    <w:name w:val="Revision"/>
    <w:hidden w:val="1"/>
    <w:uiPriority w:val="99"/>
    <w:semiHidden w:val="1"/>
    <w:rsid w:val="00D97139"/>
    <w:rPr>
      <w:snapToGrid w:val="0"/>
      <w:sz w:val="24"/>
      <w:lang w:eastAsia="en-US" w:val="en-US"/>
    </w:rPr>
  </w:style>
  <w:style w:type="character" w:styleId="Balk4Char" w:customStyle="1">
    <w:name w:val="Başlık 4 Char"/>
    <w:basedOn w:val="VarsaylanParagrafYazTipi"/>
    <w:link w:val="Balk4"/>
    <w:semiHidden w:val="1"/>
    <w:rsid w:val="009B5369"/>
    <w:rPr>
      <w:rFonts w:asciiTheme="minorHAnsi" w:cstheme="minorBidi" w:eastAsiaTheme="minorEastAsia" w:hAnsiTheme="minorHAnsi"/>
      <w:b w:val="1"/>
      <w:bCs w:val="1"/>
      <w:snapToGrid w:val="0"/>
      <w:sz w:val="28"/>
      <w:szCs w:val="28"/>
      <w:lang w:eastAsia="en-US" w:val="en-US"/>
    </w:rPr>
  </w:style>
  <w:style w:type="character" w:styleId="UnresolvedMention" w:customStyle="1">
    <w:name w:val="Unresolved Mention"/>
    <w:basedOn w:val="VarsaylanParagrafYazTipi"/>
    <w:uiPriority w:val="99"/>
    <w:semiHidden w:val="1"/>
    <w:unhideWhenUsed w:val="1"/>
    <w:rsid w:val="005D7DA1"/>
    <w:rPr>
      <w:color w:val="605e5c"/>
      <w:shd w:color="auto" w:fill="e1dfdd" w:val="clear"/>
    </w:rPr>
  </w:style>
  <w:style w:type="paragraph" w:styleId="Subtitle">
    <w:name w:val="Subtitle"/>
    <w:basedOn w:val="Normal"/>
    <w:next w:val="Normal"/>
    <w:pPr>
      <w:widowControl w:val="1"/>
      <w:spacing w:after="0" w:before="0" w:lineRule="auto"/>
      <w:jc w:val="center"/>
    </w:pPr>
    <w:rPr>
      <w:b w:val="1"/>
      <w:bCs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ec.europa.eu/budget/graphs/inforeuro.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ownload/attachments/152798822/a14a_declaration_honour_procurement_en.docx?version=2&amp;modificationDate=1737021464378&amp;api=v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QS0zPMHVK/gpTvl8WOkY0zG1KQ==">CgMxLjAyCGguZ2pkZ3hzMgloLjFmb2I5dGUyCWguM3pueXNoNzIJaC4yZXQ5MnAwOAByITFsZ19HeFpFU0IxaXV6S2RDZUJKMkRwRm9DOS1LcFFkNg==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2025-02-16T09:34:00Z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0x010100263B1F5D7841074CBE2E963D24797DAD</vt:lpwstr>
  </property>
</Properties>
</file>