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tabs>
          <w:tab w:val="right" w:leader="none" w:pos="567"/>
        </w:tabs>
        <w:jc w:val="center"/>
        <w:rPr>
          <w:rFonts w:ascii="Times New Roman" w:cs="Times New Roman" w:eastAsia="Times New Roman" w:hAnsi="Times New Roman"/>
          <w:i w:val="1"/>
          <w:sz w:val="28"/>
          <w:szCs w:val="28"/>
        </w:rPr>
      </w:pPr>
      <w:bookmarkStart w:colFirst="0" w:colLast="0" w:name="_heading=h.gjdgxs" w:id="0"/>
      <w:bookmarkEnd w:id="0"/>
      <w:r w:rsidDel="00000000" w:rsidR="00000000" w:rsidRPr="00000000">
        <w:rPr>
          <w:rFonts w:ascii="Times New Roman" w:cs="Times New Roman" w:eastAsia="Times New Roman" w:hAnsi="Times New Roman"/>
          <w:i w:val="1"/>
          <w:sz w:val="28"/>
          <w:szCs w:val="28"/>
          <w:rtl w:val="0"/>
        </w:rPr>
        <w:t xml:space="preserve">SPECIAL CONDITIONS</w:t>
      </w:r>
    </w:p>
    <w:p w:rsidR="00000000" w:rsidDel="00000000" w:rsidP="00000000" w:rsidRDefault="00000000" w:rsidRPr="00000000" w14:paraId="00000002">
      <w:pPr>
        <w:spacing w:before="240" w:lineRule="auto"/>
        <w:ind w:left="567" w:hanging="567"/>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CONTENTS</w:t>
      </w:r>
    </w:p>
    <w:p w:rsidR="00000000" w:rsidDel="00000000" w:rsidP="00000000" w:rsidRDefault="00000000" w:rsidRPr="00000000" w14:paraId="0000000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These conditions amplify and supplement, if necessary, the general conditions governing the contract. Unless the special conditions provide otherwise, those general conditions remain fully applicable. The numbering of the articles of the special conditions is not consecutive but follows the numbering of the articles of the general conditions. In exceptional cases, and with the authorisation of the appropriate Commission departments, other clauses may be added to cover specific situations.</w:t>
      </w:r>
    </w:p>
    <w:p w:rsidR="00000000" w:rsidDel="00000000" w:rsidP="00000000" w:rsidRDefault="00000000" w:rsidRPr="00000000" w14:paraId="00000004">
      <w:pPr>
        <w:spacing w:before="240" w:lineRule="auto"/>
        <w:ind w:left="1134" w:hanging="1134"/>
        <w:jc w:val="both"/>
        <w:rPr>
          <w:rFonts w:ascii="Times New Roman" w:cs="Times New Roman" w:eastAsia="Times New Roman" w:hAnsi="Times New Roman"/>
          <w:b w:val="1"/>
          <w:sz w:val="24"/>
          <w:szCs w:val="24"/>
        </w:rPr>
      </w:pPr>
      <w:bookmarkStart w:colFirst="0" w:colLast="0" w:name="_heading=h.30j0zll" w:id="1"/>
      <w:bookmarkEnd w:id="1"/>
      <w:r w:rsidDel="00000000" w:rsidR="00000000" w:rsidRPr="00000000">
        <w:rPr>
          <w:rFonts w:ascii="Times New Roman" w:cs="Times New Roman" w:eastAsia="Times New Roman" w:hAnsi="Times New Roman"/>
          <w:b w:val="1"/>
          <w:sz w:val="24"/>
          <w:szCs w:val="24"/>
          <w:rtl w:val="0"/>
        </w:rPr>
        <w:t xml:space="preserve">Article 1</w:t>
        <w:tab/>
        <w:t xml:space="preserve">Language of the contract</w:t>
      </w:r>
    </w:p>
    <w:p w:rsidR="00000000" w:rsidDel="00000000" w:rsidP="00000000" w:rsidRDefault="00000000" w:rsidRPr="00000000" w14:paraId="00000005">
      <w:pPr>
        <w:ind w:left="1134"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 xml:space="preserve">The language used shall be English.</w:t>
      </w:r>
    </w:p>
    <w:p w:rsidR="00000000" w:rsidDel="00000000" w:rsidP="00000000" w:rsidRDefault="00000000" w:rsidRPr="00000000" w14:paraId="00000006">
      <w:pPr>
        <w:spacing w:before="240" w:lineRule="auto"/>
        <w:ind w:left="1134" w:hanging="1134"/>
        <w:jc w:val="both"/>
        <w:rPr>
          <w:rFonts w:ascii="Times New Roman" w:cs="Times New Roman" w:eastAsia="Times New Roman" w:hAnsi="Times New Roman"/>
          <w:b w:val="1"/>
          <w:sz w:val="24"/>
          <w:szCs w:val="24"/>
        </w:rPr>
      </w:pPr>
      <w:bookmarkStart w:colFirst="0" w:colLast="0" w:name="_heading=h.1fob9te" w:id="2"/>
      <w:bookmarkEnd w:id="2"/>
      <w:r w:rsidDel="00000000" w:rsidR="00000000" w:rsidRPr="00000000">
        <w:rPr>
          <w:rFonts w:ascii="Times New Roman" w:cs="Times New Roman" w:eastAsia="Times New Roman" w:hAnsi="Times New Roman"/>
          <w:b w:val="1"/>
          <w:sz w:val="24"/>
          <w:szCs w:val="24"/>
          <w:rtl w:val="0"/>
        </w:rPr>
        <w:t xml:space="preserve">Article 2</w:t>
        <w:tab/>
        <w:t xml:space="preserve">Communications</w:t>
      </w:r>
    </w:p>
    <w:p w:rsidR="00000000" w:rsidDel="00000000" w:rsidP="00000000" w:rsidRDefault="00000000" w:rsidRPr="00000000" w14:paraId="00000007">
      <w:pPr>
        <w:ind w:left="1134"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tab/>
        <w:t xml:space="preserve">The designated contact person for communication is Dilara Çakır. All communication between the Contracting Parties will be exclusively in writing form. The official contact address is Bahçelievler, 1851/10. Sokak No:3, 35600 Karşıyaka, Izmir, and she can be reached by phone at +90 533 468 43 32 or via email at </w:t>
      </w:r>
      <w:hyperlink r:id="rId8">
        <w:r w:rsidDel="00000000" w:rsidR="00000000" w:rsidRPr="00000000">
          <w:rPr>
            <w:rFonts w:ascii="Times New Roman" w:cs="Times New Roman" w:eastAsia="Times New Roman" w:hAnsi="Times New Roman"/>
            <w:color w:val="1155cc"/>
            <w:sz w:val="22"/>
            <w:szCs w:val="22"/>
            <w:u w:val="single"/>
            <w:rtl w:val="0"/>
          </w:rPr>
          <w:t xml:space="preserve">dilara@redi-ngo.eu</w:t>
        </w:r>
      </w:hyperlink>
      <w:r w:rsidDel="00000000" w:rsidR="00000000" w:rsidRPr="00000000">
        <w:rPr>
          <w:rFonts w:ascii="Times New Roman" w:cs="Times New Roman" w:eastAsia="Times New Roman" w:hAnsi="Times New Roman"/>
          <w:sz w:val="22"/>
          <w:szCs w:val="22"/>
          <w:rtl w:val="0"/>
        </w:rPr>
        <w:t xml:space="preserve"> . To ensure clarity and traceability, all official documents and communications will be exchanged exclusively through email. </w:t>
      </w:r>
    </w:p>
    <w:p w:rsidR="00000000" w:rsidDel="00000000" w:rsidP="00000000" w:rsidRDefault="00000000" w:rsidRPr="00000000" w14:paraId="00000008">
      <w:pPr>
        <w:ind w:left="1134" w:hanging="567"/>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9">
      <w:pPr>
        <w:spacing w:before="240" w:lineRule="auto"/>
        <w:ind w:left="1134" w:hanging="1134"/>
        <w:jc w:val="both"/>
        <w:rPr>
          <w:rFonts w:ascii="Times New Roman" w:cs="Times New Roman" w:eastAsia="Times New Roman" w:hAnsi="Times New Roman"/>
          <w:b w:val="1"/>
          <w:sz w:val="24"/>
          <w:szCs w:val="24"/>
        </w:rPr>
      </w:pPr>
      <w:bookmarkStart w:colFirst="0" w:colLast="0" w:name="_heading=h.3znysh7" w:id="3"/>
      <w:bookmarkEnd w:id="3"/>
      <w:r w:rsidDel="00000000" w:rsidR="00000000" w:rsidRPr="00000000">
        <w:rPr>
          <w:rFonts w:ascii="Times New Roman" w:cs="Times New Roman" w:eastAsia="Times New Roman" w:hAnsi="Times New Roman"/>
          <w:b w:val="1"/>
          <w:sz w:val="24"/>
          <w:szCs w:val="24"/>
          <w:rtl w:val="0"/>
        </w:rPr>
        <w:t xml:space="preserve">Article 3</w:t>
        <w:tab/>
        <w:t xml:space="preserve">Supply of documents</w:t>
      </w:r>
    </w:p>
    <w:p w:rsidR="00000000" w:rsidDel="00000000" w:rsidP="00000000" w:rsidRDefault="00000000" w:rsidRPr="00000000" w14:paraId="0000000A">
      <w:pPr>
        <w:ind w:left="1134" w:firstLine="0"/>
        <w:jc w:val="both"/>
        <w:rPr>
          <w:rFonts w:ascii="Times New Roman" w:cs="Times New Roman" w:eastAsia="Times New Roman" w:hAnsi="Times New Roman"/>
          <w:b w:val="1"/>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N/A</w:t>
      </w:r>
      <w:r w:rsidDel="00000000" w:rsidR="00000000" w:rsidRPr="00000000">
        <w:rPr>
          <w:rtl w:val="0"/>
        </w:rPr>
      </w:r>
    </w:p>
    <w:p w:rsidR="00000000" w:rsidDel="00000000" w:rsidP="00000000" w:rsidRDefault="00000000" w:rsidRPr="00000000" w14:paraId="0000000B">
      <w:pPr>
        <w:spacing w:before="240" w:lineRule="auto"/>
        <w:ind w:left="1134" w:hanging="1134"/>
        <w:jc w:val="both"/>
        <w:rPr>
          <w:rFonts w:ascii="Times New Roman" w:cs="Times New Roman" w:eastAsia="Times New Roman" w:hAnsi="Times New Roman"/>
          <w:b w:val="1"/>
          <w:sz w:val="24"/>
          <w:szCs w:val="24"/>
        </w:rPr>
      </w:pPr>
      <w:bookmarkStart w:colFirst="0" w:colLast="0" w:name="_heading=h.2et92p0" w:id="4"/>
      <w:bookmarkEnd w:id="4"/>
      <w:r w:rsidDel="00000000" w:rsidR="00000000" w:rsidRPr="00000000">
        <w:rPr>
          <w:rFonts w:ascii="Times New Roman" w:cs="Times New Roman" w:eastAsia="Times New Roman" w:hAnsi="Times New Roman"/>
          <w:b w:val="1"/>
          <w:sz w:val="24"/>
          <w:szCs w:val="24"/>
          <w:rtl w:val="0"/>
        </w:rPr>
        <w:t xml:space="preserve">Article 4</w:t>
        <w:tab/>
        <w:t xml:space="preserve">Assistance with local regulations</w:t>
      </w:r>
    </w:p>
    <w:p w:rsidR="00000000" w:rsidDel="00000000" w:rsidP="00000000" w:rsidRDefault="00000000" w:rsidRPr="00000000" w14:paraId="0000000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the case of a dispute with the supplier, the provisions outlined in the Consumer Arbitration Committees Regulation published in the Official Gazette shall be primarily applied. (https://www.resmigazete.gov.tr/eskiler/2022/09/20220921-1.htm)</w:t>
      </w:r>
    </w:p>
    <w:p w:rsidR="00000000" w:rsidDel="00000000" w:rsidP="00000000" w:rsidRDefault="00000000" w:rsidRPr="00000000" w14:paraId="0000000D">
      <w:pPr>
        <w:tabs>
          <w:tab w:val="left" w:leader="none" w:pos="1134"/>
        </w:tabs>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Article 5</w:t>
        <w:tab/>
        <w:t xml:space="preserve">General obligations</w:t>
      </w:r>
    </w:p>
    <w:p w:rsidR="00000000" w:rsidDel="00000000" w:rsidP="00000000" w:rsidRDefault="00000000" w:rsidRPr="00000000" w14:paraId="0000000E">
      <w:pPr>
        <w:tabs>
          <w:tab w:val="left" w:leader="none" w:pos="426"/>
        </w:tabs>
        <w:ind w:left="1134" w:right="-2" w:hanging="708"/>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 xml:space="preserve">N/A</w:t>
      </w:r>
    </w:p>
    <w:p w:rsidR="00000000" w:rsidDel="00000000" w:rsidP="00000000" w:rsidRDefault="00000000" w:rsidRPr="00000000" w14:paraId="0000000F">
      <w:pPr>
        <w:keepNext w:val="1"/>
        <w:spacing w:before="240" w:lineRule="auto"/>
        <w:ind w:left="1134" w:hanging="1134"/>
        <w:jc w:val="both"/>
        <w:rPr>
          <w:rFonts w:ascii="Times New Roman" w:cs="Times New Roman" w:eastAsia="Times New Roman" w:hAnsi="Times New Roman"/>
          <w:b w:val="1"/>
          <w:sz w:val="24"/>
          <w:szCs w:val="24"/>
        </w:rPr>
      </w:pPr>
      <w:bookmarkStart w:colFirst="0" w:colLast="0" w:name="_heading=h.tyjcwt" w:id="5"/>
      <w:bookmarkEnd w:id="5"/>
      <w:r w:rsidDel="00000000" w:rsidR="00000000" w:rsidRPr="00000000">
        <w:rPr>
          <w:rFonts w:ascii="Times New Roman" w:cs="Times New Roman" w:eastAsia="Times New Roman" w:hAnsi="Times New Roman"/>
          <w:b w:val="1"/>
          <w:sz w:val="24"/>
          <w:szCs w:val="24"/>
          <w:rtl w:val="0"/>
        </w:rPr>
        <w:t xml:space="preserve">Article 6</w:t>
        <w:tab/>
        <w:t xml:space="preserve">Origin</w:t>
      </w:r>
    </w:p>
    <w:p w:rsidR="00000000" w:rsidDel="00000000" w:rsidP="00000000" w:rsidRDefault="00000000" w:rsidRPr="00000000" w14:paraId="00000010">
      <w:pPr>
        <w:pStyle w:val="Heading2"/>
        <w:keepNext w:val="0"/>
        <w:ind w:left="1134" w:hanging="708"/>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 xml:space="preserve">All goods purchased can originate in any country.</w:t>
      </w:r>
    </w:p>
    <w:p w:rsidR="00000000" w:rsidDel="00000000" w:rsidP="00000000" w:rsidRDefault="00000000" w:rsidRPr="00000000" w14:paraId="00000011">
      <w:pPr>
        <w:spacing w:before="240" w:lineRule="auto"/>
        <w:ind w:left="1134" w:hanging="1134"/>
        <w:jc w:val="both"/>
        <w:rPr>
          <w:rFonts w:ascii="Times New Roman" w:cs="Times New Roman" w:eastAsia="Times New Roman" w:hAnsi="Times New Roman"/>
          <w:b w:val="1"/>
          <w:sz w:val="24"/>
          <w:szCs w:val="24"/>
        </w:rPr>
      </w:pPr>
      <w:bookmarkStart w:colFirst="0" w:colLast="0" w:name="_heading=h.3dy6vkm" w:id="6"/>
      <w:bookmarkEnd w:id="6"/>
      <w:r w:rsidDel="00000000" w:rsidR="00000000" w:rsidRPr="00000000">
        <w:rPr>
          <w:rFonts w:ascii="Times New Roman" w:cs="Times New Roman" w:eastAsia="Times New Roman" w:hAnsi="Times New Roman"/>
          <w:b w:val="1"/>
          <w:sz w:val="24"/>
          <w:szCs w:val="24"/>
          <w:rtl w:val="0"/>
        </w:rPr>
        <w:t xml:space="preserve">Article 7</w:t>
        <w:tab/>
        <w:t xml:space="preserve">Performance guarantee</w:t>
      </w:r>
    </w:p>
    <w:p w:rsidR="00000000" w:rsidDel="00000000" w:rsidP="00000000" w:rsidRDefault="00000000" w:rsidRPr="00000000" w14:paraId="00000012">
      <w:pPr>
        <w:ind w:left="1134"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performance guarantee is required.</w:t>
      </w:r>
    </w:p>
    <w:p w:rsidR="00000000" w:rsidDel="00000000" w:rsidP="00000000" w:rsidRDefault="00000000" w:rsidRPr="00000000" w14:paraId="00000013">
      <w:pPr>
        <w:spacing w:before="240" w:lineRule="auto"/>
        <w:ind w:left="1134" w:hanging="1134"/>
        <w:jc w:val="both"/>
        <w:rPr>
          <w:rFonts w:ascii="Times New Roman" w:cs="Times New Roman" w:eastAsia="Times New Roman" w:hAnsi="Times New Roman"/>
          <w:b w:val="1"/>
          <w:sz w:val="24"/>
          <w:szCs w:val="24"/>
        </w:rPr>
      </w:pPr>
      <w:bookmarkStart w:colFirst="0" w:colLast="0" w:name="_heading=h.1t3h5sf" w:id="7"/>
      <w:bookmarkEnd w:id="7"/>
      <w:r w:rsidDel="00000000" w:rsidR="00000000" w:rsidRPr="00000000">
        <w:rPr>
          <w:rFonts w:ascii="Times New Roman" w:cs="Times New Roman" w:eastAsia="Times New Roman" w:hAnsi="Times New Roman"/>
          <w:b w:val="1"/>
          <w:sz w:val="24"/>
          <w:szCs w:val="24"/>
          <w:rtl w:val="0"/>
        </w:rPr>
        <w:t xml:space="preserve">Article 8</w:t>
        <w:tab/>
        <w:t xml:space="preserve">Liabilities and insurance</w:t>
      </w:r>
    </w:p>
    <w:p w:rsidR="00000000" w:rsidDel="00000000" w:rsidP="00000000" w:rsidRDefault="00000000" w:rsidRPr="00000000" w14:paraId="00000014">
      <w:pPr>
        <w:tabs>
          <w:tab w:val="left" w:leader="none" w:pos="1134"/>
        </w:tabs>
        <w:spacing w:before="240" w:lineRule="auto"/>
        <w:ind w:left="1134" w:hanging="708"/>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(a)</w:t>
      </w:r>
      <w:r w:rsidDel="00000000" w:rsidR="00000000" w:rsidRPr="00000000">
        <w:rPr>
          <w:rtl w:val="0"/>
        </w:rPr>
      </w:r>
    </w:p>
    <w:p w:rsidR="00000000" w:rsidDel="00000000" w:rsidP="00000000" w:rsidRDefault="00000000" w:rsidRPr="00000000" w14:paraId="00000015">
      <w:pPr>
        <w:tabs>
          <w:tab w:val="left" w:leader="none" w:pos="426"/>
        </w:tabs>
        <w:spacing w:before="240" w:lineRule="auto"/>
        <w:ind w:left="426"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following requirements apply to liability for damage to the supplies: The contractor is responsible for taking all necessary measures to prevent damage to the delivered supplies. Any damage occurring during delivery is the responsibility of the contractor, and the supplier must promptly compensate for the damages. After delivery, any damage detected by the buyer must be reported to the contractor, and repair or replacement with new items may be requested. Under the terms of the contract, the contractor bears responsibility for damages arising from any defect or faulty delivery.</w:t>
      </w:r>
    </w:p>
    <w:p w:rsidR="00000000" w:rsidDel="00000000" w:rsidP="00000000" w:rsidRDefault="00000000" w:rsidRPr="00000000" w14:paraId="00000016">
      <w:pPr>
        <w:tabs>
          <w:tab w:val="left" w:leader="none" w:pos="426"/>
        </w:tabs>
        <w:spacing w:before="240" w:lineRule="auto"/>
        <w:ind w:left="426"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7">
      <w:pPr>
        <w:tabs>
          <w:tab w:val="left" w:leader="none" w:pos="1134"/>
        </w:tabs>
        <w:spacing w:before="240" w:lineRule="auto"/>
        <w:ind w:left="1134" w:hanging="708"/>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(b)</w:t>
        <w:tab/>
      </w:r>
      <w:r w:rsidDel="00000000" w:rsidR="00000000" w:rsidRPr="00000000">
        <w:rPr>
          <w:rtl w:val="0"/>
        </w:rPr>
      </w:r>
    </w:p>
    <w:p w:rsidR="00000000" w:rsidDel="00000000" w:rsidP="00000000" w:rsidRDefault="00000000" w:rsidRPr="00000000" w14:paraId="00000018">
      <w:pPr>
        <w:tabs>
          <w:tab w:val="left" w:leader="none" w:pos="426"/>
        </w:tabs>
        <w:spacing w:before="240" w:lineRule="auto"/>
        <w:ind w:left="426" w:firstLine="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The contractor shall be liable for any damages caused to the contracting authority during the execution of the contract. This includes, but is not limited to, any damage to property, financial loss, or reputational harm caused by the contractor’s actions or omissions. The contractor is responsible for promptly repairing, replacing, or compensating for any damages incurred. In case of breach of contract or failure to meet the agreed terms, the contracting authority has the right to seek compensation for any direct or indirect damages resulting from the contractor’s non-compliance or negligence.</w:t>
      </w:r>
      <w:r w:rsidDel="00000000" w:rsidR="00000000" w:rsidRPr="00000000">
        <w:rPr>
          <w:rtl w:val="0"/>
        </w:rPr>
      </w:r>
    </w:p>
    <w:p w:rsidR="00000000" w:rsidDel="00000000" w:rsidP="00000000" w:rsidRDefault="00000000" w:rsidRPr="00000000" w14:paraId="00000019">
      <w:pPr>
        <w:tabs>
          <w:tab w:val="left" w:leader="none" w:pos="1843"/>
        </w:tabs>
        <w:spacing w:before="240" w:lineRule="auto"/>
        <w:ind w:left="0" w:firstLine="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2(a), paragraph 1</w:t>
        <w:tab/>
      </w:r>
      <w:r w:rsidDel="00000000" w:rsidR="00000000" w:rsidRPr="00000000">
        <w:rPr>
          <w:rtl w:val="0"/>
        </w:rPr>
      </w:r>
    </w:p>
    <w:p w:rsidR="00000000" w:rsidDel="00000000" w:rsidP="00000000" w:rsidRDefault="00000000" w:rsidRPr="00000000" w14:paraId="0000001A">
      <w:pPr>
        <w:spacing w:before="240" w:lineRule="auto"/>
        <w:ind w:left="426" w:firstLine="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The proof of completion of adequate Guarantee must be provided before the commencement of the contract or as a condition for finalizing the agreement. The contractor is required to submit a copy of the valid insurance policy that meets the specified coverage criteria within 2 years after signing the contract. Failure to provide proof of Guarantee within the specified period may result in delays or termination of the contract.</w:t>
      </w:r>
      <w:r w:rsidDel="00000000" w:rsidR="00000000" w:rsidRPr="00000000">
        <w:rPr>
          <w:rtl w:val="0"/>
        </w:rPr>
      </w:r>
    </w:p>
    <w:p w:rsidR="00000000" w:rsidDel="00000000" w:rsidP="00000000" w:rsidRDefault="00000000" w:rsidRPr="00000000" w14:paraId="0000001B">
      <w:pPr>
        <w:tabs>
          <w:tab w:val="left" w:leader="none" w:pos="1843"/>
        </w:tabs>
        <w:spacing w:before="240" w:lineRule="auto"/>
        <w:ind w:left="1843" w:hanging="1843"/>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2(a), paragraph 2</w:t>
        <w:tab/>
      </w:r>
      <w:r w:rsidDel="00000000" w:rsidR="00000000" w:rsidRPr="00000000">
        <w:rPr>
          <w:rtl w:val="0"/>
        </w:rPr>
      </w:r>
    </w:p>
    <w:p w:rsidR="00000000" w:rsidDel="00000000" w:rsidP="00000000" w:rsidRDefault="00000000" w:rsidRPr="00000000" w14:paraId="0000001C">
      <w:pPr>
        <w:spacing w:before="240" w:lineRule="auto"/>
        <w:ind w:left="426" w:firstLine="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The requirements for communication of cover notes and/or guarantee certificates must be fulfilled before the commencement of the contract. The contractor is required to submit the cover notes and/or guarantee certificates within 2 years after signing the contract. These documents must be provided in writing and must clearly demonstrate that the necessary guarantee coverage is in place. Failure to submit these documents within the specified time frame may result in a delay or termination of the contract.</w:t>
      </w:r>
      <w:r w:rsidDel="00000000" w:rsidR="00000000" w:rsidRPr="00000000">
        <w:rPr>
          <w:rtl w:val="0"/>
        </w:rPr>
      </w:r>
    </w:p>
    <w:p w:rsidR="00000000" w:rsidDel="00000000" w:rsidP="00000000" w:rsidRDefault="00000000" w:rsidRPr="00000000" w14:paraId="0000001D">
      <w:pPr>
        <w:ind w:left="1843" w:hanging="184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2(b), paragraph 3</w:t>
        <w:tab/>
      </w:r>
    </w:p>
    <w:p w:rsidR="00000000" w:rsidDel="00000000" w:rsidP="00000000" w:rsidRDefault="00000000" w:rsidRPr="00000000" w14:paraId="0000001E">
      <w:pPr>
        <w:ind w:left="426"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shall be responsible for any damages that occur during the transport of supplies. The contractor must ensure that appropriate measures are taken to prevent damage during transportation and shall bear the liability for any damages incurred. The absence of a specific insurance policy for the transport does not relieve the contractor from this responsibility.</w:t>
      </w:r>
    </w:p>
    <w:p w:rsidR="00000000" w:rsidDel="00000000" w:rsidP="00000000" w:rsidRDefault="00000000" w:rsidRPr="00000000" w14:paraId="0000001F">
      <w:pPr>
        <w:spacing w:before="240" w:lineRule="auto"/>
        <w:ind w:left="1134" w:hanging="1134"/>
        <w:jc w:val="both"/>
        <w:rPr>
          <w:rFonts w:ascii="Times New Roman" w:cs="Times New Roman" w:eastAsia="Times New Roman" w:hAnsi="Times New Roman"/>
          <w:b w:val="1"/>
          <w:sz w:val="24"/>
          <w:szCs w:val="24"/>
        </w:rPr>
      </w:pPr>
      <w:bookmarkStart w:colFirst="0" w:colLast="0" w:name="_heading=h.4d34og8" w:id="8"/>
      <w:bookmarkEnd w:id="8"/>
      <w:r w:rsidDel="00000000" w:rsidR="00000000" w:rsidRPr="00000000">
        <w:rPr>
          <w:rFonts w:ascii="Times New Roman" w:cs="Times New Roman" w:eastAsia="Times New Roman" w:hAnsi="Times New Roman"/>
          <w:b w:val="1"/>
          <w:sz w:val="24"/>
          <w:szCs w:val="24"/>
          <w:rtl w:val="0"/>
        </w:rPr>
        <w:t xml:space="preserve">Article 9</w:t>
        <w:tab/>
        <w:t xml:space="preserve">Programme of implementation of tasks</w:t>
      </w:r>
    </w:p>
    <w:p w:rsidR="00000000" w:rsidDel="00000000" w:rsidP="00000000" w:rsidRDefault="00000000" w:rsidRPr="00000000" w14:paraId="00000020">
      <w:pPr>
        <w:ind w:left="1134" w:hanging="70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1">
      <w:pPr>
        <w:keepLines w:val="1"/>
        <w:spacing w:after="0" w:before="0" w:lineRule="auto"/>
        <w:ind w:left="450" w:right="525"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Deadline for requesting clarifications: 21 days before deadline for submission of tenders, End of business day</w:t>
      </w:r>
    </w:p>
    <w:p w:rsidR="00000000" w:rsidDel="00000000" w:rsidP="00000000" w:rsidRDefault="00000000" w:rsidRPr="00000000" w14:paraId="00000022">
      <w:pPr>
        <w:keepLines w:val="1"/>
        <w:spacing w:after="0" w:before="0" w:lineRule="auto"/>
        <w:ind w:left="450" w:right="525"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3">
      <w:pPr>
        <w:keepLines w:val="1"/>
        <w:spacing w:after="0" w:before="0" w:lineRule="auto"/>
        <w:ind w:left="450" w:right="525"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Last date for issuing clarifications: 8 days before deadline for submission of tenders, End of business day</w:t>
        <w:br w:type="textWrapping"/>
      </w:r>
    </w:p>
    <w:p w:rsidR="00000000" w:rsidDel="00000000" w:rsidP="00000000" w:rsidRDefault="00000000" w:rsidRPr="00000000" w14:paraId="00000024">
      <w:pPr>
        <w:keepLines w:val="1"/>
        <w:spacing w:after="0" w:before="0" w:lineRule="auto"/>
        <w:ind w:left="450" w:right="525"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Deadline for submission of tenders: 30 days from invitation, End of business day</w:t>
        <w:br w:type="textWrapping"/>
      </w:r>
    </w:p>
    <w:p w:rsidR="00000000" w:rsidDel="00000000" w:rsidP="00000000" w:rsidRDefault="00000000" w:rsidRPr="00000000" w14:paraId="00000025">
      <w:pPr>
        <w:keepLines w:val="1"/>
        <w:spacing w:after="0" w:before="0" w:lineRule="auto"/>
        <w:ind w:left="450" w:right="525"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 opening session: 3 days after the submission deadline, End of business day</w:t>
        <w:br w:type="textWrapping"/>
      </w:r>
    </w:p>
    <w:p w:rsidR="00000000" w:rsidDel="00000000" w:rsidP="00000000" w:rsidRDefault="00000000" w:rsidRPr="00000000" w14:paraId="00000026">
      <w:pPr>
        <w:keepLines w:val="1"/>
        <w:spacing w:after="0" w:before="0" w:lineRule="auto"/>
        <w:ind w:left="450" w:right="525"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Notification of award: 5 days after the submission deadline, End of business day</w:t>
        <w:br w:type="textWrapping"/>
      </w:r>
    </w:p>
    <w:p w:rsidR="00000000" w:rsidDel="00000000" w:rsidP="00000000" w:rsidRDefault="00000000" w:rsidRPr="00000000" w14:paraId="00000027">
      <w:pPr>
        <w:keepLines w:val="1"/>
        <w:spacing w:after="0" w:before="0" w:lineRule="auto"/>
        <w:ind w:left="450" w:right="525"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Contract signature: 10 days after the submission deadline, End of business day</w:t>
      </w:r>
    </w:p>
    <w:p w:rsidR="00000000" w:rsidDel="00000000" w:rsidP="00000000" w:rsidRDefault="00000000" w:rsidRPr="00000000" w14:paraId="00000028">
      <w:pPr>
        <w:keepLines w:val="1"/>
        <w:spacing w:after="0" w:before="0" w:lineRule="auto"/>
        <w:ind w:left="1134" w:hanging="709"/>
        <w:jc w:val="both"/>
        <w:rPr>
          <w:rFonts w:ascii="Times New Roman" w:cs="Times New Roman" w:eastAsia="Times New Roman" w:hAnsi="Times New Roman"/>
          <w:b w:val="1"/>
          <w:color w:val="b80672"/>
          <w:sz w:val="22"/>
          <w:szCs w:val="22"/>
        </w:rPr>
      </w:pPr>
      <w:r w:rsidDel="00000000" w:rsidR="00000000" w:rsidRPr="00000000">
        <w:rPr>
          <w:rtl w:val="0"/>
        </w:rPr>
      </w:r>
    </w:p>
    <w:p w:rsidR="00000000" w:rsidDel="00000000" w:rsidP="00000000" w:rsidRDefault="00000000" w:rsidRPr="00000000" w14:paraId="00000029">
      <w:pPr>
        <w:spacing w:after="144" w:before="288" w:lineRule="auto"/>
        <w:rPr>
          <w:rFonts w:ascii="Times New Roman" w:cs="Times New Roman" w:eastAsia="Times New Roman" w:hAnsi="Times New Roman"/>
          <w:b w:val="1"/>
          <w:sz w:val="22"/>
          <w:szCs w:val="22"/>
        </w:rPr>
      </w:pPr>
      <w:bookmarkStart w:colFirst="0" w:colLast="0" w:name="_heading=h.30j0zll" w:id="1"/>
      <w:bookmarkEnd w:id="1"/>
      <w:r w:rsidDel="00000000" w:rsidR="00000000" w:rsidRPr="00000000">
        <w:rPr>
          <w:rFonts w:ascii="Times New Roman" w:cs="Times New Roman" w:eastAsia="Times New Roman" w:hAnsi="Times New Roman"/>
          <w:b w:val="1"/>
          <w:sz w:val="22"/>
          <w:szCs w:val="22"/>
          <w:rtl w:val="0"/>
        </w:rPr>
        <w:t xml:space="preserve">* The time zone of the country of the contracting authority.</w:t>
        <w:br w:type="textWrapping"/>
        <w:t xml:space="preserve">**</w:t>
      </w:r>
      <w:r w:rsidDel="00000000" w:rsidR="00000000" w:rsidRPr="00000000">
        <w:rPr>
          <w:rFonts w:ascii="Times New Roman" w:cs="Times New Roman" w:eastAsia="Times New Roman" w:hAnsi="Times New Roman"/>
          <w:sz w:val="22"/>
          <w:szCs w:val="22"/>
          <w:vertAlign w:val="superscript"/>
          <w:rtl w:val="0"/>
        </w:rPr>
        <w:t xml:space="preserve"> </w:t>
      </w:r>
      <w:r w:rsidDel="00000000" w:rsidR="00000000" w:rsidRPr="00000000">
        <w:rPr>
          <w:rFonts w:ascii="Times New Roman" w:cs="Times New Roman" w:eastAsia="Times New Roman" w:hAnsi="Times New Roman"/>
          <w:b w:val="1"/>
          <w:sz w:val="22"/>
          <w:szCs w:val="22"/>
          <w:rtl w:val="0"/>
        </w:rPr>
        <w:t xml:space="preserve">Provisional date. Days presented are calendar based.</w:t>
      </w:r>
    </w:p>
    <w:p w:rsidR="00000000" w:rsidDel="00000000" w:rsidP="00000000" w:rsidRDefault="00000000" w:rsidRPr="00000000" w14:paraId="0000002A">
      <w:pPr>
        <w:spacing w:after="144" w:before="288" w:lineRule="auto"/>
        <w:rPr>
          <w:rFonts w:ascii="Times New Roman" w:cs="Times New Roman" w:eastAsia="Times New Roman" w:hAnsi="Times New Roman"/>
          <w:b w:val="1"/>
          <w:sz w:val="22"/>
          <w:szCs w:val="22"/>
        </w:rPr>
      </w:pPr>
      <w:bookmarkStart w:colFirst="0" w:colLast="0" w:name="_heading=h.vial5520a10w" w:id="9"/>
      <w:bookmarkEnd w:id="9"/>
      <w:r w:rsidDel="00000000" w:rsidR="00000000" w:rsidRPr="00000000">
        <w:rPr>
          <w:rFonts w:ascii="Times New Roman" w:cs="Times New Roman" w:eastAsia="Times New Roman" w:hAnsi="Times New Roman"/>
          <w:b w:val="1"/>
          <w:sz w:val="22"/>
          <w:szCs w:val="22"/>
          <w:rtl w:val="0"/>
        </w:rPr>
        <w:t xml:space="preserve">*** Should the last day of the indicated calendar be a non working day, deadlines will be extended until the next working day.</w:t>
      </w:r>
    </w:p>
    <w:p w:rsidR="00000000" w:rsidDel="00000000" w:rsidP="00000000" w:rsidRDefault="00000000" w:rsidRPr="00000000" w14:paraId="0000002B">
      <w:pPr>
        <w:spacing w:after="144" w:before="288" w:lineRule="auto"/>
        <w:rPr>
          <w:rFonts w:ascii="Times New Roman" w:cs="Times New Roman" w:eastAsia="Times New Roman" w:hAnsi="Times New Roman"/>
          <w:b w:val="1"/>
          <w:sz w:val="22"/>
          <w:szCs w:val="22"/>
        </w:rPr>
      </w:pPr>
      <w:bookmarkStart w:colFirst="0" w:colLast="0" w:name="_heading=h.o0v4e11tggbs" w:id="10"/>
      <w:bookmarkEnd w:id="10"/>
      <w:r w:rsidDel="00000000" w:rsidR="00000000" w:rsidRPr="00000000">
        <w:rPr>
          <w:rtl w:val="0"/>
        </w:rPr>
      </w:r>
    </w:p>
    <w:p w:rsidR="00000000" w:rsidDel="00000000" w:rsidP="00000000" w:rsidRDefault="00000000" w:rsidRPr="00000000" w14:paraId="0000002C">
      <w:pPr>
        <w:spacing w:after="144" w:before="288" w:lineRule="auto"/>
        <w:rPr>
          <w:rFonts w:ascii="Times New Roman" w:cs="Times New Roman" w:eastAsia="Times New Roman" w:hAnsi="Times New Roman"/>
          <w:b w:val="1"/>
          <w:sz w:val="22"/>
          <w:szCs w:val="22"/>
        </w:rPr>
      </w:pPr>
      <w:bookmarkStart w:colFirst="0" w:colLast="0" w:name="_heading=h.4f38ou3rdnub" w:id="11"/>
      <w:bookmarkEnd w:id="11"/>
      <w:r w:rsidDel="00000000" w:rsidR="00000000" w:rsidRPr="00000000">
        <w:rPr>
          <w:rtl w:val="0"/>
        </w:rPr>
      </w:r>
    </w:p>
    <w:p w:rsidR="00000000" w:rsidDel="00000000" w:rsidP="00000000" w:rsidRDefault="00000000" w:rsidRPr="00000000" w14:paraId="0000002D">
      <w:pPr>
        <w:spacing w:before="240" w:lineRule="auto"/>
        <w:ind w:left="1134" w:hanging="1134"/>
        <w:jc w:val="both"/>
        <w:rPr>
          <w:rFonts w:ascii="Times New Roman" w:cs="Times New Roman" w:eastAsia="Times New Roman" w:hAnsi="Times New Roman"/>
          <w:b w:val="1"/>
          <w:sz w:val="24"/>
          <w:szCs w:val="24"/>
        </w:rPr>
      </w:pPr>
      <w:bookmarkStart w:colFirst="0" w:colLast="0" w:name="_heading=h.2s8eyo1" w:id="12"/>
      <w:bookmarkEnd w:id="12"/>
      <w:r w:rsidDel="00000000" w:rsidR="00000000" w:rsidRPr="00000000">
        <w:rPr>
          <w:rFonts w:ascii="Times New Roman" w:cs="Times New Roman" w:eastAsia="Times New Roman" w:hAnsi="Times New Roman"/>
          <w:b w:val="1"/>
          <w:sz w:val="24"/>
          <w:szCs w:val="24"/>
          <w:rtl w:val="0"/>
        </w:rPr>
        <w:t xml:space="preserve">Article 10</w:t>
        <w:tab/>
        <w:t xml:space="preserve">Contractor’s drawings</w:t>
      </w:r>
    </w:p>
    <w:p w:rsidR="00000000" w:rsidDel="00000000" w:rsidP="00000000" w:rsidRDefault="00000000" w:rsidRPr="00000000" w14:paraId="0000002E">
      <w:pPr>
        <w:ind w:left="1134"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w:t>
      </w:r>
    </w:p>
    <w:p w:rsidR="00000000" w:rsidDel="00000000" w:rsidP="00000000" w:rsidRDefault="00000000" w:rsidRPr="00000000" w14:paraId="0000002F">
      <w:pPr>
        <w:spacing w:before="240" w:lineRule="auto"/>
        <w:ind w:left="1134" w:hanging="1134"/>
        <w:jc w:val="both"/>
        <w:rPr>
          <w:rFonts w:ascii="Times New Roman" w:cs="Times New Roman" w:eastAsia="Times New Roman" w:hAnsi="Times New Roman"/>
          <w:b w:val="1"/>
          <w:sz w:val="24"/>
          <w:szCs w:val="24"/>
        </w:rPr>
      </w:pPr>
      <w:bookmarkStart w:colFirst="0" w:colLast="0" w:name="_heading=h.17dp8vu" w:id="13"/>
      <w:bookmarkEnd w:id="13"/>
      <w:r w:rsidDel="00000000" w:rsidR="00000000" w:rsidRPr="00000000">
        <w:rPr>
          <w:rFonts w:ascii="Times New Roman" w:cs="Times New Roman" w:eastAsia="Times New Roman" w:hAnsi="Times New Roman"/>
          <w:b w:val="1"/>
          <w:sz w:val="24"/>
          <w:szCs w:val="24"/>
          <w:rtl w:val="0"/>
        </w:rPr>
        <w:t xml:space="preserve">Article 11</w:t>
        <w:tab/>
        <w:t xml:space="preserve">Sufficiency of tender prices</w:t>
        <w:tab/>
      </w:r>
    </w:p>
    <w:p w:rsidR="00000000" w:rsidDel="00000000" w:rsidP="00000000" w:rsidRDefault="00000000" w:rsidRPr="00000000" w14:paraId="00000030">
      <w:pPr>
        <w:ind w:left="1134"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w:t>
      </w:r>
    </w:p>
    <w:p w:rsidR="00000000" w:rsidDel="00000000" w:rsidP="00000000" w:rsidRDefault="00000000" w:rsidRPr="00000000" w14:paraId="00000031">
      <w:pPr>
        <w:spacing w:before="240" w:lineRule="auto"/>
        <w:ind w:left="1134" w:hanging="1134"/>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12</w:t>
        <w:tab/>
        <w:t xml:space="preserve">Tax and customs arrangements</w:t>
      </w:r>
    </w:p>
    <w:p w:rsidR="00000000" w:rsidDel="00000000" w:rsidP="00000000" w:rsidRDefault="00000000" w:rsidRPr="00000000" w14:paraId="00000032">
      <w:pPr>
        <w:ind w:left="1134"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delivery conditions are DDP as mentioned in the general conditions. </w:t>
      </w:r>
    </w:p>
    <w:p w:rsidR="00000000" w:rsidDel="00000000" w:rsidP="00000000" w:rsidRDefault="00000000" w:rsidRPr="00000000" w14:paraId="00000033">
      <w:pPr>
        <w:spacing w:before="240" w:lineRule="auto"/>
        <w:ind w:left="1134" w:hanging="1134"/>
        <w:jc w:val="both"/>
        <w:rPr>
          <w:rFonts w:ascii="Times New Roman" w:cs="Times New Roman" w:eastAsia="Times New Roman" w:hAnsi="Times New Roman"/>
          <w:b w:val="1"/>
          <w:sz w:val="24"/>
          <w:szCs w:val="24"/>
        </w:rPr>
      </w:pPr>
      <w:bookmarkStart w:colFirst="0" w:colLast="0" w:name="_heading=h.3rdcrjn" w:id="14"/>
      <w:bookmarkEnd w:id="14"/>
      <w:r w:rsidDel="00000000" w:rsidR="00000000" w:rsidRPr="00000000">
        <w:rPr>
          <w:rFonts w:ascii="Times New Roman" w:cs="Times New Roman" w:eastAsia="Times New Roman" w:hAnsi="Times New Roman"/>
          <w:b w:val="1"/>
          <w:sz w:val="24"/>
          <w:szCs w:val="24"/>
          <w:rtl w:val="0"/>
        </w:rPr>
        <w:t xml:space="preserve">Article 13</w:t>
        <w:tab/>
        <w:t xml:space="preserve">Patents and licences</w:t>
      </w:r>
    </w:p>
    <w:p w:rsidR="00000000" w:rsidDel="00000000" w:rsidP="00000000" w:rsidRDefault="00000000" w:rsidRPr="00000000" w14:paraId="00000034">
      <w:pPr>
        <w:ind w:left="1134"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derogations from Article 17 of the general conditions.</w:t>
      </w:r>
    </w:p>
    <w:p w:rsidR="00000000" w:rsidDel="00000000" w:rsidP="00000000" w:rsidRDefault="00000000" w:rsidRPr="00000000" w14:paraId="00000035">
      <w:pPr>
        <w:spacing w:before="240" w:lineRule="auto"/>
        <w:ind w:left="1134" w:hanging="1134"/>
        <w:jc w:val="both"/>
        <w:rPr>
          <w:rFonts w:ascii="Times New Roman" w:cs="Times New Roman" w:eastAsia="Times New Roman" w:hAnsi="Times New Roman"/>
          <w:b w:val="1"/>
          <w:sz w:val="24"/>
          <w:szCs w:val="24"/>
        </w:rPr>
      </w:pPr>
      <w:bookmarkStart w:colFirst="0" w:colLast="0" w:name="_heading=h.26in1rg" w:id="15"/>
      <w:bookmarkEnd w:id="15"/>
      <w:r w:rsidDel="00000000" w:rsidR="00000000" w:rsidRPr="00000000">
        <w:rPr>
          <w:rFonts w:ascii="Times New Roman" w:cs="Times New Roman" w:eastAsia="Times New Roman" w:hAnsi="Times New Roman"/>
          <w:b w:val="1"/>
          <w:sz w:val="24"/>
          <w:szCs w:val="24"/>
          <w:rtl w:val="0"/>
        </w:rPr>
        <w:t xml:space="preserve">Article 14</w:t>
        <w:tab/>
        <w:t xml:space="preserve">Commencement order </w:t>
      </w:r>
    </w:p>
    <w:p w:rsidR="00000000" w:rsidDel="00000000" w:rsidP="00000000" w:rsidRDefault="00000000" w:rsidRPr="00000000" w14:paraId="00000036">
      <w:pPr>
        <w:ind w:left="1134"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 days after the submission deadline, End of business day</w:t>
      </w:r>
    </w:p>
    <w:p w:rsidR="00000000" w:rsidDel="00000000" w:rsidP="00000000" w:rsidRDefault="00000000" w:rsidRPr="00000000" w14:paraId="00000037">
      <w:pPr>
        <w:spacing w:before="240" w:lineRule="auto"/>
        <w:ind w:left="1134" w:hanging="1134"/>
        <w:jc w:val="both"/>
        <w:rPr>
          <w:rFonts w:ascii="Times New Roman" w:cs="Times New Roman" w:eastAsia="Times New Roman" w:hAnsi="Times New Roman"/>
          <w:b w:val="1"/>
          <w:sz w:val="24"/>
          <w:szCs w:val="24"/>
        </w:rPr>
      </w:pPr>
      <w:bookmarkStart w:colFirst="0" w:colLast="0" w:name="_heading=h.lnxbz9" w:id="16"/>
      <w:bookmarkEnd w:id="16"/>
      <w:r w:rsidDel="00000000" w:rsidR="00000000" w:rsidRPr="00000000">
        <w:rPr>
          <w:rFonts w:ascii="Times New Roman" w:cs="Times New Roman" w:eastAsia="Times New Roman" w:hAnsi="Times New Roman"/>
          <w:b w:val="1"/>
          <w:sz w:val="24"/>
          <w:szCs w:val="24"/>
          <w:rtl w:val="0"/>
        </w:rPr>
        <w:t xml:space="preserve">Article 15</w:t>
        <w:tab/>
        <w:t xml:space="preserve">Period of implementation of the tasks</w:t>
      </w:r>
    </w:p>
    <w:p w:rsidR="00000000" w:rsidDel="00000000" w:rsidP="00000000" w:rsidRDefault="00000000" w:rsidRPr="00000000" w14:paraId="00000038">
      <w:pPr>
        <w:numPr>
          <w:ilvl w:val="0"/>
          <w:numId w:val="2"/>
        </w:numPr>
        <w:spacing w:after="0" w:before="0" w:lineRule="auto"/>
        <w:ind w:left="810" w:hanging="450"/>
        <w:jc w:val="both"/>
        <w:rPr>
          <w:rFonts w:ascii="Calibri" w:cs="Calibri" w:eastAsia="Calibri" w:hAnsi="Calibri"/>
          <w:sz w:val="22"/>
          <w:szCs w:val="22"/>
        </w:rPr>
      </w:pPr>
      <w:r w:rsidDel="00000000" w:rsidR="00000000" w:rsidRPr="00000000">
        <w:rPr>
          <w:rFonts w:ascii="Times New Roman" w:cs="Times New Roman" w:eastAsia="Times New Roman" w:hAnsi="Times New Roman"/>
          <w:sz w:val="22"/>
          <w:szCs w:val="22"/>
          <w:rtl w:val="0"/>
        </w:rPr>
        <w:t xml:space="preserve">Within </w:t>
      </w:r>
      <w:r w:rsidDel="00000000" w:rsidR="00000000" w:rsidRPr="00000000">
        <w:rPr>
          <w:rFonts w:ascii="Times New Roman" w:cs="Times New Roman" w:eastAsia="Times New Roman" w:hAnsi="Times New Roman"/>
          <w:sz w:val="22"/>
          <w:szCs w:val="22"/>
          <w:rtl w:val="0"/>
        </w:rPr>
        <w:t xml:space="preserve">30 working days after the Notification of award all goods must be delivered by the supplier</w:t>
      </w:r>
    </w:p>
    <w:p w:rsidR="00000000" w:rsidDel="00000000" w:rsidP="00000000" w:rsidRDefault="00000000" w:rsidRPr="00000000" w14:paraId="00000039">
      <w:pPr>
        <w:keepNext w:val="0"/>
        <w:keepLines w:val="0"/>
        <w:pageBreakBefore w:val="0"/>
        <w:widowControl w:val="1"/>
        <w:spacing w:after="0" w:before="0" w:line="240" w:lineRule="auto"/>
        <w:ind w:left="1287" w:right="0" w:firstLine="0"/>
        <w:jc w:val="both"/>
        <w:rPr>
          <w:rFonts w:ascii="Times New Roman" w:cs="Times New Roman" w:eastAsia="Times New Roman" w:hAnsi="Times New Roman"/>
          <w:color w:val="b80672"/>
        </w:rPr>
      </w:pPr>
      <w:r w:rsidDel="00000000" w:rsidR="00000000" w:rsidRPr="00000000">
        <w:rPr>
          <w:rtl w:val="0"/>
        </w:rPr>
      </w:r>
    </w:p>
    <w:p w:rsidR="00000000" w:rsidDel="00000000" w:rsidP="00000000" w:rsidRDefault="00000000" w:rsidRPr="00000000" w14:paraId="0000003A">
      <w:pPr>
        <w:spacing w:before="240" w:lineRule="auto"/>
        <w:ind w:left="1134" w:hanging="1134"/>
        <w:jc w:val="both"/>
        <w:rPr>
          <w:rFonts w:ascii="Times New Roman" w:cs="Times New Roman" w:eastAsia="Times New Roman" w:hAnsi="Times New Roman"/>
          <w:b w:val="1"/>
          <w:sz w:val="24"/>
          <w:szCs w:val="24"/>
        </w:rPr>
      </w:pPr>
      <w:bookmarkStart w:colFirst="0" w:colLast="0" w:name="_heading=h.35nkun2" w:id="17"/>
      <w:bookmarkEnd w:id="17"/>
      <w:r w:rsidDel="00000000" w:rsidR="00000000" w:rsidRPr="00000000">
        <w:rPr>
          <w:rFonts w:ascii="Times New Roman" w:cs="Times New Roman" w:eastAsia="Times New Roman" w:hAnsi="Times New Roman"/>
          <w:b w:val="1"/>
          <w:sz w:val="24"/>
          <w:szCs w:val="24"/>
          <w:rtl w:val="0"/>
        </w:rPr>
        <w:t xml:space="preserve">Article 16</w:t>
        <w:tab/>
        <w:t xml:space="preserve">Quality of supplies</w:t>
      </w:r>
    </w:p>
    <w:p w:rsidR="00000000" w:rsidDel="00000000" w:rsidP="00000000" w:rsidRDefault="00000000" w:rsidRPr="00000000" w14:paraId="0000003B">
      <w:pPr>
        <w:numPr>
          <w:ilvl w:val="0"/>
          <w:numId w:val="1"/>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All supplies offered have to be new, unused and with no technical or visual defects</w:t>
      </w:r>
      <w:r w:rsidDel="00000000" w:rsidR="00000000" w:rsidRPr="00000000">
        <w:rPr>
          <w:rtl w:val="0"/>
        </w:rPr>
      </w:r>
    </w:p>
    <w:p w:rsidR="00000000" w:rsidDel="00000000" w:rsidP="00000000" w:rsidRDefault="00000000" w:rsidRPr="00000000" w14:paraId="0000003C">
      <w:pPr>
        <w:spacing w:before="240" w:lineRule="auto"/>
        <w:ind w:left="1134" w:hanging="1134"/>
        <w:jc w:val="both"/>
        <w:rPr>
          <w:rFonts w:ascii="Times New Roman" w:cs="Times New Roman" w:eastAsia="Times New Roman" w:hAnsi="Times New Roman"/>
          <w:b w:val="1"/>
          <w:sz w:val="24"/>
          <w:szCs w:val="24"/>
        </w:rPr>
      </w:pPr>
      <w:bookmarkStart w:colFirst="0" w:colLast="0" w:name="_heading=h.1ksv4uv" w:id="18"/>
      <w:bookmarkEnd w:id="18"/>
      <w:r w:rsidDel="00000000" w:rsidR="00000000" w:rsidRPr="00000000">
        <w:rPr>
          <w:rFonts w:ascii="Times New Roman" w:cs="Times New Roman" w:eastAsia="Times New Roman" w:hAnsi="Times New Roman"/>
          <w:b w:val="1"/>
          <w:sz w:val="24"/>
          <w:szCs w:val="24"/>
          <w:rtl w:val="0"/>
        </w:rPr>
        <w:t xml:space="preserve">Article 17</w:t>
        <w:tab/>
        <w:t xml:space="preserve">Inspection and testing</w:t>
      </w:r>
    </w:p>
    <w:p w:rsidR="00000000" w:rsidDel="00000000" w:rsidP="00000000" w:rsidRDefault="00000000" w:rsidRPr="00000000" w14:paraId="0000003D">
      <w:pPr>
        <w:ind w:left="1134" w:hanging="709"/>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N/A</w:t>
      </w:r>
      <w:r w:rsidDel="00000000" w:rsidR="00000000" w:rsidRPr="00000000">
        <w:rPr>
          <w:rtl w:val="0"/>
        </w:rPr>
      </w:r>
    </w:p>
    <w:p w:rsidR="00000000" w:rsidDel="00000000" w:rsidP="00000000" w:rsidRDefault="00000000" w:rsidRPr="00000000" w14:paraId="0000003E">
      <w:pPr>
        <w:spacing w:before="240" w:lineRule="auto"/>
        <w:ind w:left="1134" w:hanging="1134"/>
        <w:jc w:val="both"/>
        <w:rPr>
          <w:rFonts w:ascii="Times New Roman" w:cs="Times New Roman" w:eastAsia="Times New Roman" w:hAnsi="Times New Roman"/>
          <w:b w:val="1"/>
          <w:sz w:val="24"/>
          <w:szCs w:val="24"/>
        </w:rPr>
      </w:pPr>
      <w:bookmarkStart w:colFirst="0" w:colLast="0" w:name="_heading=h.44sinio" w:id="19"/>
      <w:bookmarkEnd w:id="19"/>
      <w:r w:rsidDel="00000000" w:rsidR="00000000" w:rsidRPr="00000000">
        <w:rPr>
          <w:rFonts w:ascii="Times New Roman" w:cs="Times New Roman" w:eastAsia="Times New Roman" w:hAnsi="Times New Roman"/>
          <w:b w:val="1"/>
          <w:sz w:val="24"/>
          <w:szCs w:val="24"/>
          <w:rtl w:val="0"/>
        </w:rPr>
        <w:t xml:space="preserve">Article 18</w:t>
        <w:tab/>
        <w:t xml:space="preserve">General principles for payments</w:t>
      </w:r>
    </w:p>
    <w:p w:rsidR="00000000" w:rsidDel="00000000" w:rsidP="00000000" w:rsidRDefault="00000000" w:rsidRPr="00000000" w14:paraId="0000003F">
      <w:pPr>
        <w:tabs>
          <w:tab w:val="right" w:leader="none" w:pos="9885"/>
        </w:tabs>
        <w:ind w:left="1134"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tab/>
        <w:t xml:space="preserve">Payments shall be made in TRY.</w:t>
      </w:r>
    </w:p>
    <w:p w:rsidR="00000000" w:rsidDel="00000000" w:rsidP="00000000" w:rsidRDefault="00000000" w:rsidRPr="00000000" w14:paraId="00000040">
      <w:pPr>
        <w:tabs>
          <w:tab w:val="right" w:leader="none" w:pos="9885"/>
        </w:tabs>
        <w:ind w:left="1134"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Pre-financing is not applicable to this contract.</w:t>
      </w:r>
    </w:p>
    <w:p w:rsidR="00000000" w:rsidDel="00000000" w:rsidP="00000000" w:rsidRDefault="00000000" w:rsidRPr="00000000" w14:paraId="00000041">
      <w:pPr>
        <w:ind w:left="1134"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Payments shall be authorised and made by ROMAN GİRİŞİMCİLİĞİNİ GELİŞTİRME İNİSİYATİFİ DERNEĞİ will make the payment via bank transfer from its T.C. Ziraat Bankası accounts to the bank account specified by the awarded supplier.</w:t>
      </w:r>
    </w:p>
    <w:p w:rsidR="00000000" w:rsidDel="00000000" w:rsidP="00000000" w:rsidRDefault="00000000" w:rsidRPr="00000000" w14:paraId="00000042">
      <w:pPr>
        <w:ind w:left="1134"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tab/>
        <w:t xml:space="preserve">By derogation/ agreement of both parties, the final payment to the contractor of the amounts due shall be made within 10 days after receipt by the contracting authority of an invoice and of the application for the certificate of provisional acceptance.</w:t>
      </w:r>
    </w:p>
    <w:p w:rsidR="00000000" w:rsidDel="00000000" w:rsidP="00000000" w:rsidRDefault="00000000" w:rsidRPr="00000000" w14:paraId="00000043">
      <w:pPr>
        <w:ind w:left="1134"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tab/>
        <w:t xml:space="preserve">In order to obtain payments, the contractor must forward to the authority referred to in paragraph 26.1 above:</w:t>
      </w:r>
    </w:p>
    <w:p w:rsidR="00000000" w:rsidDel="00000000" w:rsidP="00000000" w:rsidRDefault="00000000" w:rsidRPr="00000000" w14:paraId="00000044">
      <w:pPr>
        <w:ind w:left="1560" w:hanging="425.9999999999999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r w:rsidDel="00000000" w:rsidR="00000000" w:rsidRPr="00000000">
        <w:rPr>
          <w:rFonts w:ascii="Times New Roman" w:cs="Times New Roman" w:eastAsia="Times New Roman" w:hAnsi="Times New Roman"/>
          <w:b w:val="1"/>
          <w:sz w:val="22"/>
          <w:szCs w:val="22"/>
          <w:rtl w:val="0"/>
        </w:rPr>
        <w:tab/>
      </w:r>
      <w:r w:rsidDel="00000000" w:rsidR="00000000" w:rsidRPr="00000000">
        <w:rPr>
          <w:rFonts w:ascii="Times New Roman" w:cs="Times New Roman" w:eastAsia="Times New Roman" w:hAnsi="Times New Roman"/>
          <w:sz w:val="22"/>
          <w:szCs w:val="22"/>
          <w:rtl w:val="0"/>
        </w:rPr>
        <w:t xml:space="preserve">By derogation from this article 26.5 of the general conditions, no pre-financing guarantee is required.</w:t>
      </w:r>
    </w:p>
    <w:p w:rsidR="00000000" w:rsidDel="00000000" w:rsidP="00000000" w:rsidRDefault="00000000" w:rsidRPr="00000000" w14:paraId="00000045">
      <w:pPr>
        <w:spacing w:after="0" w:lineRule="auto"/>
        <w:ind w:left="155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w:t>
      </w:r>
      <w:r w:rsidDel="00000000" w:rsidR="00000000" w:rsidRPr="00000000">
        <w:rPr>
          <w:rFonts w:ascii="Times New Roman" w:cs="Times New Roman" w:eastAsia="Times New Roman" w:hAnsi="Times New Roman"/>
          <w:b w:val="1"/>
          <w:sz w:val="22"/>
          <w:szCs w:val="22"/>
          <w:rtl w:val="0"/>
        </w:rPr>
        <w:tab/>
      </w:r>
      <w:r w:rsidDel="00000000" w:rsidR="00000000" w:rsidRPr="00000000">
        <w:rPr>
          <w:rFonts w:ascii="Times New Roman" w:cs="Times New Roman" w:eastAsia="Times New Roman" w:hAnsi="Times New Roman"/>
          <w:sz w:val="22"/>
          <w:szCs w:val="22"/>
          <w:rtl w:val="0"/>
        </w:rPr>
        <w:t xml:space="preserve">For the 100 % balance the invoice(s) in triplicate together with the request for provisional acceptance of the supplies.</w:t>
      </w:r>
    </w:p>
    <w:p w:rsidR="00000000" w:rsidDel="00000000" w:rsidP="00000000" w:rsidRDefault="00000000" w:rsidRPr="00000000" w14:paraId="00000046">
      <w:pPr>
        <w:spacing w:after="0" w:lineRule="auto"/>
        <w:ind w:left="1559" w:hanging="425"/>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7">
      <w:pPr>
        <w:spacing w:after="0" w:lineRule="auto"/>
        <w:ind w:left="1559" w:hanging="425"/>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8">
      <w:pPr>
        <w:spacing w:after="0" w:lineRule="auto"/>
        <w:ind w:left="1559" w:hanging="425"/>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9">
      <w:pPr>
        <w:spacing w:after="0" w:lineRule="auto"/>
        <w:ind w:left="1559" w:hanging="425"/>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A">
      <w:pPr>
        <w:spacing w:before="240" w:lineRule="auto"/>
        <w:ind w:left="1134" w:hanging="1134"/>
        <w:jc w:val="both"/>
        <w:rPr>
          <w:rFonts w:ascii="Times New Roman" w:cs="Times New Roman" w:eastAsia="Times New Roman" w:hAnsi="Times New Roman"/>
          <w:b w:val="1"/>
          <w:sz w:val="24"/>
          <w:szCs w:val="24"/>
        </w:rPr>
      </w:pPr>
      <w:bookmarkStart w:colFirst="0" w:colLast="0" w:name="_heading=h.2jxsxqh" w:id="20"/>
      <w:bookmarkEnd w:id="20"/>
      <w:r w:rsidDel="00000000" w:rsidR="00000000" w:rsidRPr="00000000">
        <w:rPr>
          <w:rFonts w:ascii="Times New Roman" w:cs="Times New Roman" w:eastAsia="Times New Roman" w:hAnsi="Times New Roman"/>
          <w:b w:val="1"/>
          <w:sz w:val="24"/>
          <w:szCs w:val="24"/>
          <w:rtl w:val="0"/>
        </w:rPr>
        <w:t xml:space="preserve">Article 19</w:t>
        <w:tab/>
        <w:t xml:space="preserve">Delayed payments</w:t>
      </w:r>
    </w:p>
    <w:p w:rsidR="00000000" w:rsidDel="00000000" w:rsidP="00000000" w:rsidRDefault="00000000" w:rsidRPr="00000000" w14:paraId="0000004B">
      <w:pPr>
        <w:ind w:left="1134"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ab/>
      </w:r>
      <w:r w:rsidDel="00000000" w:rsidR="00000000" w:rsidRPr="00000000">
        <w:rPr>
          <w:rFonts w:ascii="Times New Roman" w:cs="Times New Roman" w:eastAsia="Times New Roman" w:hAnsi="Times New Roman"/>
          <w:sz w:val="22"/>
          <w:szCs w:val="22"/>
          <w:rtl w:val="0"/>
        </w:rPr>
        <w:t xml:space="preserve">By derogation from Article 28.2 of the general conditions, once the deadline laid down in Article 26.3 has expired, the contractor shall, upon demand, be entitled to late-payment interest at the rate and for the period mentioned in the general conditions. The demand must be submitted within two months of receiving late payment.</w:t>
      </w:r>
    </w:p>
    <w:p w:rsidR="00000000" w:rsidDel="00000000" w:rsidP="00000000" w:rsidRDefault="00000000" w:rsidRPr="00000000" w14:paraId="0000004C">
      <w:pPr>
        <w:spacing w:before="240" w:lineRule="auto"/>
        <w:ind w:left="1134" w:hanging="1134"/>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20</w:t>
        <w:tab/>
        <w:t xml:space="preserve">Delivery</w:t>
      </w:r>
    </w:p>
    <w:p w:rsidR="00000000" w:rsidDel="00000000" w:rsidP="00000000" w:rsidRDefault="00000000" w:rsidRPr="00000000" w14:paraId="0000004D">
      <w:pPr>
        <w:ind w:left="425"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packaging shall become the property of the recipient subject to environmental considerations.</w:t>
      </w:r>
    </w:p>
    <w:p w:rsidR="00000000" w:rsidDel="00000000" w:rsidP="00000000" w:rsidRDefault="00000000" w:rsidRPr="00000000" w14:paraId="0000004E">
      <w:pPr>
        <w:ind w:left="1134" w:hanging="113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r>
    </w:p>
    <w:p w:rsidR="00000000" w:rsidDel="00000000" w:rsidP="00000000" w:rsidRDefault="00000000" w:rsidRPr="00000000" w14:paraId="0000004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products must be delivered with all the required transport documents. The contractor shall be responsible for resolving any issues arising from missing documentation. The packaging must be unopened, undamaged, and include all necessary markings.</w:t>
      </w:r>
    </w:p>
    <w:p w:rsidR="00000000" w:rsidDel="00000000" w:rsidP="00000000" w:rsidRDefault="00000000" w:rsidRPr="00000000" w14:paraId="00000050">
      <w:pPr>
        <w:spacing w:before="240" w:lineRule="auto"/>
        <w:ind w:left="1134" w:hanging="1134"/>
        <w:jc w:val="both"/>
        <w:rPr>
          <w:rFonts w:ascii="Times New Roman" w:cs="Times New Roman" w:eastAsia="Times New Roman" w:hAnsi="Times New Roman"/>
          <w:b w:val="1"/>
          <w:sz w:val="24"/>
          <w:szCs w:val="24"/>
        </w:rPr>
      </w:pPr>
      <w:bookmarkStart w:colFirst="0" w:colLast="0" w:name="_heading=h.z337ya" w:id="21"/>
      <w:bookmarkEnd w:id="21"/>
      <w:r w:rsidDel="00000000" w:rsidR="00000000" w:rsidRPr="00000000">
        <w:rPr>
          <w:rFonts w:ascii="Times New Roman" w:cs="Times New Roman" w:eastAsia="Times New Roman" w:hAnsi="Times New Roman"/>
          <w:b w:val="1"/>
          <w:sz w:val="24"/>
          <w:szCs w:val="24"/>
          <w:rtl w:val="0"/>
        </w:rPr>
        <w:t xml:space="preserve">Article 21</w:t>
        <w:tab/>
        <w:t xml:space="preserve">Provisional acceptance</w:t>
      </w:r>
    </w:p>
    <w:p w:rsidR="00000000" w:rsidDel="00000000" w:rsidP="00000000" w:rsidRDefault="00000000" w:rsidRPr="00000000" w14:paraId="0000005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certificate of provisional acceptance must be issued using the template in Annex C11. </w:t>
      </w:r>
    </w:p>
    <w:p w:rsidR="00000000" w:rsidDel="00000000" w:rsidP="00000000" w:rsidRDefault="00000000" w:rsidRPr="00000000" w14:paraId="00000052">
      <w:pPr>
        <w:spacing w:before="240" w:lineRule="auto"/>
        <w:ind w:left="1134" w:hanging="1134"/>
        <w:jc w:val="both"/>
        <w:rPr>
          <w:rFonts w:ascii="Times New Roman" w:cs="Times New Roman" w:eastAsia="Times New Roman" w:hAnsi="Times New Roman"/>
          <w:sz w:val="22"/>
          <w:szCs w:val="22"/>
        </w:rPr>
      </w:pPr>
      <w:bookmarkStart w:colFirst="0" w:colLast="0" w:name="_heading=h.3j2qqm3" w:id="22"/>
      <w:bookmarkEnd w:id="22"/>
      <w:r w:rsidDel="00000000" w:rsidR="00000000" w:rsidRPr="00000000">
        <w:rPr>
          <w:rFonts w:ascii="Times New Roman" w:cs="Times New Roman" w:eastAsia="Times New Roman" w:hAnsi="Times New Roman"/>
          <w:b w:val="1"/>
          <w:sz w:val="24"/>
          <w:szCs w:val="24"/>
          <w:rtl w:val="0"/>
        </w:rPr>
        <w:t xml:space="preserve">Article 22</w:t>
        <w:tab/>
        <w:t xml:space="preserve">Warranty obligations</w:t>
      </w:r>
      <w:r w:rsidDel="00000000" w:rsidR="00000000" w:rsidRPr="00000000">
        <w:rPr>
          <w:rtl w:val="0"/>
        </w:rPr>
      </w:r>
    </w:p>
    <w:p w:rsidR="00000000" w:rsidDel="00000000" w:rsidP="00000000" w:rsidRDefault="00000000" w:rsidRPr="00000000" w14:paraId="00000053">
      <w:pPr>
        <w:ind w:left="426.0000000000001"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warranty must remain valid for two years.</w:t>
      </w:r>
    </w:p>
    <w:p w:rsidR="00000000" w:rsidDel="00000000" w:rsidP="00000000" w:rsidRDefault="00000000" w:rsidRPr="00000000" w14:paraId="00000054">
      <w:pPr>
        <w:spacing w:before="240" w:lineRule="auto"/>
        <w:ind w:left="1134" w:hanging="1134"/>
        <w:jc w:val="both"/>
        <w:rPr>
          <w:rFonts w:ascii="Times New Roman" w:cs="Times New Roman" w:eastAsia="Times New Roman" w:hAnsi="Times New Roman"/>
          <w:b w:val="1"/>
          <w:sz w:val="24"/>
          <w:szCs w:val="24"/>
        </w:rPr>
      </w:pPr>
      <w:bookmarkStart w:colFirst="0" w:colLast="0" w:name="_heading=h.1y810tw" w:id="23"/>
      <w:bookmarkEnd w:id="23"/>
      <w:r w:rsidDel="00000000" w:rsidR="00000000" w:rsidRPr="00000000">
        <w:rPr>
          <w:rFonts w:ascii="Times New Roman" w:cs="Times New Roman" w:eastAsia="Times New Roman" w:hAnsi="Times New Roman"/>
          <w:b w:val="1"/>
          <w:sz w:val="24"/>
          <w:szCs w:val="24"/>
          <w:rtl w:val="0"/>
        </w:rPr>
        <w:t xml:space="preserve">Article 23</w:t>
        <w:tab/>
        <w:t xml:space="preserve">After-sales service</w:t>
      </w:r>
    </w:p>
    <w:p w:rsidR="00000000" w:rsidDel="00000000" w:rsidP="00000000" w:rsidRDefault="00000000" w:rsidRPr="00000000" w14:paraId="00000055">
      <w:pPr>
        <w:ind w:left="1134" w:hanging="708"/>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 xml:space="preserve">N/A</w:t>
      </w:r>
    </w:p>
    <w:p w:rsidR="00000000" w:rsidDel="00000000" w:rsidP="00000000" w:rsidRDefault="00000000" w:rsidRPr="00000000" w14:paraId="00000056">
      <w:pPr>
        <w:spacing w:before="240" w:lineRule="auto"/>
        <w:ind w:left="1134" w:hanging="1134"/>
        <w:jc w:val="both"/>
        <w:rPr>
          <w:rFonts w:ascii="Times New Roman" w:cs="Times New Roman" w:eastAsia="Times New Roman" w:hAnsi="Times New Roman"/>
          <w:b w:val="1"/>
          <w:sz w:val="24"/>
          <w:szCs w:val="24"/>
        </w:rPr>
      </w:pPr>
      <w:bookmarkStart w:colFirst="0" w:colLast="0" w:name="_heading=h.4i7ojhp" w:id="24"/>
      <w:bookmarkEnd w:id="24"/>
      <w:r w:rsidDel="00000000" w:rsidR="00000000" w:rsidRPr="00000000">
        <w:rPr>
          <w:rFonts w:ascii="Times New Roman" w:cs="Times New Roman" w:eastAsia="Times New Roman" w:hAnsi="Times New Roman"/>
          <w:b w:val="1"/>
          <w:sz w:val="24"/>
          <w:szCs w:val="24"/>
          <w:rtl w:val="0"/>
        </w:rPr>
        <w:t xml:space="preserve">Article 24</w:t>
        <w:tab/>
        <w:t xml:space="preserve">Settlement of disputes</w:t>
      </w:r>
    </w:p>
    <w:p w:rsidR="00000000" w:rsidDel="00000000" w:rsidP="00000000" w:rsidRDefault="00000000" w:rsidRPr="00000000" w14:paraId="00000057">
      <w:pPr>
        <w:ind w:left="1134" w:hanging="708"/>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Any disputes arising out of or relating to this contract which cannot be settled otherwise shall be referred to the exclusive jurisdiction of Turkiye in accordance with the national legislation of the state of the contracting authority. ]</w:t>
      </w:r>
    </w:p>
    <w:p w:rsidR="00000000" w:rsidDel="00000000" w:rsidP="00000000" w:rsidRDefault="00000000" w:rsidRPr="00000000" w14:paraId="00000058">
      <w:pPr>
        <w:keepNext w:val="1"/>
        <w:keepLines w:val="1"/>
        <w:tabs>
          <w:tab w:val="left" w:leader="none" w:pos="1134"/>
        </w:tabs>
        <w:spacing w:before="240" w:lineRule="auto"/>
        <w:ind w:left="1134" w:hanging="1134"/>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25</w:t>
        <w:tab/>
        <w:t xml:space="preserve">Data protection</w:t>
      </w:r>
    </w:p>
    <w:p w:rsidR="00000000" w:rsidDel="00000000" w:rsidP="00000000" w:rsidRDefault="00000000" w:rsidRPr="00000000" w14:paraId="0000005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Processing of personal data related to the implementation of the contract by the contracting authority takes place in accordance with the national legislation of the state of the contracting authority and with the provisions of the respective financing agreement.</w:t>
      </w:r>
    </w:p>
    <w:p w:rsidR="00000000" w:rsidDel="00000000" w:rsidP="00000000" w:rsidRDefault="00000000" w:rsidRPr="00000000" w14:paraId="0000005A">
      <w:pPr>
        <w:jc w:val="both"/>
        <w:rPr>
          <w:rFonts w:ascii="Times New Roman" w:cs="Times New Roman" w:eastAsia="Times New Roman" w:hAnsi="Times New Roman"/>
          <w:sz w:val="22"/>
          <w:szCs w:val="22"/>
          <w:u w:val="single"/>
        </w:rPr>
      </w:pPr>
      <w:r w:rsidDel="00000000" w:rsidR="00000000" w:rsidRPr="00000000">
        <w:rPr>
          <w:rFonts w:ascii="Times New Roman" w:cs="Times New Roman" w:eastAsia="Times New Roman" w:hAnsi="Times New Roman"/>
          <w:sz w:val="22"/>
          <w:szCs w:val="22"/>
          <w:rtl w:val="0"/>
        </w:rPr>
        <w:t xml:space="preserve">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personnel,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Del="00000000" w:rsidR="00000000" w:rsidRPr="00000000">
        <w:rPr>
          <w:rFonts w:ascii="Times New Roman" w:cs="Times New Roman" w:eastAsia="Times New Roman" w:hAnsi="Times New Roman"/>
          <w:sz w:val="22"/>
          <w:szCs w:val="22"/>
          <w:vertAlign w:val="superscript"/>
        </w:rPr>
        <w:footnoteReference w:customMarkFollows="0" w:id="0"/>
      </w:r>
      <w:r w:rsidDel="00000000" w:rsidR="00000000" w:rsidRPr="00000000">
        <w:rPr>
          <w:rFonts w:ascii="Times New Roman" w:cs="Times New Roman" w:eastAsia="Times New Roman" w:hAnsi="Times New Roman"/>
          <w:sz w:val="22"/>
          <w:szCs w:val="22"/>
          <w:rtl w:val="0"/>
        </w:rPr>
        <w:t xml:space="preserve"> and as detailed in the specific privacy statement published at ePRAG.</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1984" w:right="0" w:hanging="425"/>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w:t>
      </w:r>
    </w:p>
    <w:sectPr>
      <w:footerReference r:id="rId9" w:type="default"/>
      <w:footerReference r:id="rId10" w:type="first"/>
      <w:footerReference r:id="rId11" w:type="even"/>
      <w:pgSz w:h="16838" w:w="11906" w:orient="portrait"/>
      <w:pgMar w:bottom="993" w:top="1134" w:left="1701" w:right="1133" w:header="720" w:footer="31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8647"/>
      </w:tabs>
      <w:spacing w:after="0" w:before="120" w:line="240" w:lineRule="auto"/>
      <w:ind w:left="0" w:right="6"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0">
    <w:pPr>
      <w:spacing w:after="0" w:before="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c4d_specialconditions_en.doc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2006</w:t>
      <w:tab/>
      <w:tab/>
      <w:tab/>
      <w:tab/>
      <w:tab/>
      <w:tab/>
      <w:tab/>
      <w:tab/>
      <w:tab/>
      <w:tab/>
      <w:tab/>
      <w:tab/>
      <w:tab/>
      <w:tab/>
      <w:tab/>
      <w:tab/>
      <w:tab/>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OJ L 205 of 21.11.2018, p. 39</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spacing w:after="120" w:before="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right" w:leader="none" w:pos="567"/>
      </w:tabs>
      <w:spacing w:after="240" w:before="240" w:lineRule="auto"/>
      <w:ind w:left="567" w:hanging="567"/>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864" w:hanging="864"/>
    </w:pPr>
    <w:rPr>
      <w:b w:val="1"/>
      <w:sz w:val="24"/>
      <w:szCs w:val="24"/>
    </w:rPr>
  </w:style>
  <w:style w:type="paragraph" w:styleId="Heading5">
    <w:name w:val="heading 5"/>
    <w:basedOn w:val="Normal"/>
    <w:next w:val="Normal"/>
    <w:pPr>
      <w:spacing w:after="60" w:before="240" w:lineRule="auto"/>
      <w:ind w:left="1008" w:hanging="1008"/>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Normal" w:default="1">
    <w:name w:val="Normal"/>
    <w:qFormat w:val="1"/>
    <w:rsid w:val="001020D9"/>
    <w:pPr>
      <w:spacing w:after="120" w:before="120"/>
    </w:pPr>
    <w:rPr>
      <w:rFonts w:ascii="Arial" w:hAnsi="Arial"/>
      <w:snapToGrid w:val="0"/>
      <w:lang w:eastAsia="en-US"/>
    </w:rPr>
  </w:style>
  <w:style w:type="paragraph" w:styleId="Balk1">
    <w:name w:val="heading 1"/>
    <w:basedOn w:val="Normal"/>
    <w:next w:val="Normal"/>
    <w:link w:val="Balk1Char"/>
    <w:qFormat w:val="1"/>
    <w:pPr>
      <w:keepNext w:val="1"/>
      <w:numPr>
        <w:numId w:val="2"/>
      </w:numPr>
      <w:tabs>
        <w:tab w:val="right" w:pos="567"/>
      </w:tabs>
      <w:spacing w:after="240" w:before="240"/>
      <w:jc w:val="both"/>
      <w:outlineLvl w:val="0"/>
    </w:pPr>
    <w:rPr>
      <w:b w:val="1"/>
      <w:lang w:val="fr-BE"/>
    </w:rPr>
  </w:style>
  <w:style w:type="paragraph" w:styleId="Balk2">
    <w:name w:val="heading 2"/>
    <w:basedOn w:val="Normal"/>
    <w:next w:val="Normal"/>
    <w:link w:val="Balk2Char"/>
    <w:qFormat w:val="1"/>
    <w:pPr>
      <w:keepNext w:val="1"/>
      <w:outlineLvl w:val="1"/>
    </w:pPr>
    <w:rPr>
      <w:lang w:val="fr-BE"/>
    </w:rPr>
  </w:style>
  <w:style w:type="paragraph" w:styleId="Balk3">
    <w:name w:val="heading 3"/>
    <w:basedOn w:val="Normal"/>
    <w:next w:val="Normal"/>
    <w:link w:val="Balk3Char"/>
    <w:qFormat w:val="1"/>
    <w:pPr>
      <w:keepNext w:val="1"/>
      <w:framePr w:lines="0" w:vSpace="181" w:hSpace="181" w:wrap="auto" w:hAnchor="text" w:vAnchor="text" w:y="1"/>
      <w:outlineLvl w:val="2"/>
    </w:pPr>
  </w:style>
  <w:style w:type="paragraph" w:styleId="Balk4">
    <w:name w:val="heading 4"/>
    <w:basedOn w:val="Normal"/>
    <w:next w:val="Normal"/>
    <w:link w:val="Balk4Char"/>
    <w:qFormat w:val="1"/>
    <w:pPr>
      <w:keepNext w:val="1"/>
      <w:numPr>
        <w:ilvl w:val="3"/>
        <w:numId w:val="2"/>
      </w:numPr>
      <w:spacing w:after="60" w:before="240"/>
      <w:outlineLvl w:val="3"/>
    </w:pPr>
    <w:rPr>
      <w:b w:val="1"/>
      <w:sz w:val="24"/>
      <w:lang w:val="sv-SE"/>
    </w:rPr>
  </w:style>
  <w:style w:type="paragraph" w:styleId="Balk5">
    <w:name w:val="heading 5"/>
    <w:basedOn w:val="Normal"/>
    <w:next w:val="Normal"/>
    <w:link w:val="Balk5Char"/>
    <w:qFormat w:val="1"/>
    <w:pPr>
      <w:numPr>
        <w:ilvl w:val="4"/>
        <w:numId w:val="2"/>
      </w:numPr>
      <w:spacing w:after="60" w:before="240"/>
      <w:outlineLvl w:val="4"/>
    </w:pPr>
    <w:rPr>
      <w:sz w:val="22"/>
      <w:lang w:val="sv-SE"/>
    </w:rPr>
  </w:style>
  <w:style w:type="paragraph" w:styleId="Balk6">
    <w:name w:val="heading 6"/>
    <w:basedOn w:val="Normal"/>
    <w:next w:val="Normal"/>
    <w:link w:val="Balk6Char"/>
    <w:qFormat w:val="1"/>
    <w:pPr>
      <w:numPr>
        <w:ilvl w:val="5"/>
        <w:numId w:val="2"/>
      </w:numPr>
      <w:tabs>
        <w:tab w:val="clear" w:pos="360"/>
        <w:tab w:val="num" w:pos="1152"/>
      </w:tabs>
      <w:spacing w:after="60" w:before="240"/>
      <w:ind w:left="1152" w:hanging="1152"/>
      <w:outlineLvl w:val="5"/>
    </w:pPr>
    <w:rPr>
      <w:i w:val="1"/>
      <w:sz w:val="22"/>
      <w:lang w:val="sv-SE"/>
    </w:rPr>
  </w:style>
  <w:style w:type="paragraph" w:styleId="Balk7">
    <w:name w:val="heading 7"/>
    <w:basedOn w:val="Normal"/>
    <w:next w:val="Normal"/>
    <w:link w:val="Balk7Char"/>
    <w:qFormat w:val="1"/>
    <w:pPr>
      <w:numPr>
        <w:ilvl w:val="6"/>
        <w:numId w:val="2"/>
      </w:numPr>
      <w:spacing w:after="60" w:before="240"/>
      <w:outlineLvl w:val="6"/>
    </w:pPr>
    <w:rPr>
      <w:lang w:val="sv-SE"/>
    </w:rPr>
  </w:style>
  <w:style w:type="paragraph" w:styleId="Balk8">
    <w:name w:val="heading 8"/>
    <w:basedOn w:val="Normal"/>
    <w:next w:val="Normal"/>
    <w:link w:val="Balk8Char"/>
    <w:qFormat w:val="1"/>
    <w:pPr>
      <w:numPr>
        <w:ilvl w:val="7"/>
        <w:numId w:val="2"/>
      </w:numPr>
      <w:spacing w:after="60" w:before="240"/>
      <w:outlineLvl w:val="7"/>
    </w:pPr>
    <w:rPr>
      <w:i w:val="1"/>
      <w:lang w:val="sv-SE"/>
    </w:rPr>
  </w:style>
  <w:style w:type="paragraph" w:styleId="Balk9">
    <w:name w:val="heading 9"/>
    <w:basedOn w:val="Normal"/>
    <w:next w:val="Normal"/>
    <w:link w:val="Balk9Char"/>
    <w:qFormat w:val="1"/>
    <w:pPr>
      <w:numPr>
        <w:ilvl w:val="8"/>
        <w:numId w:val="2"/>
      </w:numPr>
      <w:spacing w:after="60" w:before="240"/>
      <w:outlineLvl w:val="8"/>
    </w:pPr>
    <w:rPr>
      <w:b w:val="1"/>
      <w:i w:val="1"/>
      <w:sz w:val="18"/>
      <w:lang w:val="sv-SE"/>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KonuBal">
    <w:name w:val="Title"/>
    <w:basedOn w:val="Normal"/>
    <w:link w:val="KonuBalChar"/>
    <w:qFormat w:val="1"/>
    <w:pPr>
      <w:jc w:val="center"/>
    </w:pPr>
    <w:rPr>
      <w:b w:val="1"/>
      <w:sz w:val="28"/>
      <w:lang w:val="fr-BE"/>
    </w:rPr>
  </w:style>
  <w:style w:type="paragraph" w:styleId="Altyaz">
    <w:name w:val="Subtitle"/>
    <w:basedOn w:val="Normal"/>
    <w:link w:val="AltyazChar"/>
    <w:qFormat w:val="1"/>
    <w:pPr>
      <w:jc w:val="center"/>
    </w:pPr>
    <w:rPr>
      <w:b w:val="1"/>
      <w:sz w:val="28"/>
      <w:lang w:val="fr-BE"/>
    </w:rPr>
  </w:style>
  <w:style w:type="paragraph" w:styleId="GvdeMetniGirintisi">
    <w:name w:val="Body Text Indent"/>
    <w:basedOn w:val="Normal"/>
    <w:link w:val="GvdeMetniGirintisiChar"/>
    <w:pPr>
      <w:tabs>
        <w:tab w:val="num" w:pos="567"/>
      </w:tabs>
      <w:spacing w:after="0" w:before="0"/>
      <w:jc w:val="both"/>
    </w:pPr>
    <w:rPr>
      <w:rFonts w:ascii="Times New Roman" w:hAnsi="Times New Roman"/>
      <w:sz w:val="24"/>
      <w:lang w:val="sv-SE"/>
    </w:rPr>
  </w:style>
  <w:style w:type="paragraph" w:styleId="GvdeMetni">
    <w:name w:val="Body Text"/>
    <w:basedOn w:val="Normal"/>
    <w:link w:val="GvdeMetniChar"/>
    <w:rPr>
      <w:lang w:val="sv-SE"/>
    </w:rPr>
  </w:style>
  <w:style w:type="paragraph" w:styleId="GvdeMetniGirintisi2">
    <w:name w:val="Body Text Indent 2"/>
    <w:basedOn w:val="Normal"/>
    <w:link w:val="GvdeMetniGirintisi2Char"/>
    <w:pPr>
      <w:tabs>
        <w:tab w:val="num" w:pos="567"/>
        <w:tab w:val="num" w:pos="2160"/>
      </w:tabs>
      <w:spacing w:after="240"/>
      <w:ind w:left="567" w:hanging="567"/>
      <w:jc w:val="both"/>
    </w:pPr>
    <w:rPr>
      <w:sz w:val="24"/>
      <w:u w:val="single"/>
      <w:lang w:val="sv-SE"/>
    </w:rPr>
  </w:style>
  <w:style w:type="paragraph" w:styleId="GvdeMetniGirintisi3">
    <w:name w:val="Body Text Indent 3"/>
    <w:basedOn w:val="Normal"/>
    <w:link w:val="GvdeMetniGirintisi3Char"/>
    <w:pPr>
      <w:tabs>
        <w:tab w:val="left" w:pos="1276"/>
      </w:tabs>
      <w:ind w:left="1276" w:hanging="425"/>
      <w:jc w:val="both"/>
    </w:pPr>
    <w:rPr>
      <w:sz w:val="24"/>
      <w:lang w:val="sv-SE"/>
    </w:rPr>
  </w:style>
  <w:style w:type="paragraph" w:styleId="Text3" w:customStyle="1">
    <w:name w:val="Text 3"/>
    <w:basedOn w:val="Normal"/>
    <w:pPr>
      <w:tabs>
        <w:tab w:val="left" w:pos="2302"/>
      </w:tabs>
      <w:spacing w:after="240"/>
      <w:ind w:left="1202"/>
      <w:jc w:val="both"/>
    </w:pPr>
    <w:rPr>
      <w:sz w:val="24"/>
    </w:rPr>
  </w:style>
  <w:style w:type="paragraph" w:styleId="stBilgi">
    <w:name w:val="header"/>
    <w:basedOn w:val="Normal"/>
    <w:link w:val="stBilgiChar"/>
    <w:pPr>
      <w:tabs>
        <w:tab w:val="center" w:pos="4320"/>
        <w:tab w:val="right" w:pos="8640"/>
      </w:tabs>
    </w:pPr>
    <w:rPr>
      <w:lang w:val="sv-SE"/>
    </w:rPr>
  </w:style>
  <w:style w:type="paragraph" w:styleId="AltBilgi">
    <w:name w:val="footer"/>
    <w:basedOn w:val="Normal"/>
    <w:link w:val="AltBilgiChar"/>
    <w:uiPriority w:val="99"/>
    <w:pPr>
      <w:tabs>
        <w:tab w:val="center" w:pos="4320"/>
        <w:tab w:val="right" w:pos="8640"/>
      </w:tabs>
    </w:pPr>
    <w:rPr>
      <w:lang w:val="sv-SE"/>
    </w:rPr>
  </w:style>
  <w:style w:type="character" w:styleId="SayfaNumaras">
    <w:name w:val="page number"/>
    <w:basedOn w:val="VarsaylanParagrafYazTipi"/>
  </w:style>
  <w:style w:type="paragraph" w:styleId="GvdeMetni3">
    <w:name w:val="Body Text 3"/>
    <w:basedOn w:val="Normal"/>
    <w:link w:val="GvdeMetni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Kpr">
    <w:name w:val="Hyperlink"/>
    <w:rPr>
      <w:color w:val="0000ff"/>
      <w:u w:val="single"/>
    </w:rPr>
  </w:style>
  <w:style w:type="paragraph" w:styleId="DipnotMetni">
    <w:name w:val="footnote text"/>
    <w:aliases w:val="Schriftart: 9 pt,Schriftart: 10 pt,Schriftart: 8 pt,WB-Fußnotentext,FoodNote,ft,Footnote,Footnote Text Char Char,Footnote Text Char1 Char Char,Footnote Text Char Char Char Char,fn,f,Voetnoottekst Char,Footnote Text Char1 Cha"/>
    <w:basedOn w:val="Normal"/>
    <w:autoRedefine w:val="1"/>
    <w:qFormat w:val="1"/>
    <w:rsid w:val="001020D9"/>
    <w:pPr>
      <w:spacing w:before="0"/>
    </w:pPr>
    <w:rPr>
      <w:rFonts w:ascii="Times New Roman" w:hAnsi="Times New Roman"/>
      <w:lang w:val="fr-FR"/>
    </w:rPr>
  </w:style>
  <w:style w:type="character" w:styleId="DipnotBavurusu">
    <w:name w:val="footnote reference"/>
    <w:aliases w:val="Footnote symbol,Times 10 Point,Exposant 3 Point, Exposant 3 Point,Footnote number,Footnote Reference Number,Footnote reference number,Footnote Reference Superscript,EN Footnote Reference,note TESI,Voetnootverwijzing,fr,o,FR,FR1,note T"/>
    <w:qFormat w:val="1"/>
    <w:rPr>
      <w:vertAlign w:val="superscript"/>
    </w:rPr>
  </w:style>
  <w:style w:type="paragraph" w:styleId="BelgeBalantlar">
    <w:name w:val="Document Map"/>
    <w:basedOn w:val="Normal"/>
    <w:link w:val="BelgeBalantlarChar"/>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styleId="SubTitle1" w:customStyle="1">
    <w:name w:val="SubTitle 1"/>
    <w:basedOn w:val="Normal"/>
    <w:next w:val="SubTitle2"/>
    <w:pPr>
      <w:spacing w:after="240"/>
      <w:jc w:val="center"/>
    </w:pPr>
    <w:rPr>
      <w:b w:val="1"/>
      <w:sz w:val="40"/>
    </w:rPr>
  </w:style>
  <w:style w:type="paragraph" w:styleId="SubTitle2" w:customStyle="1">
    <w:name w:val="SubTitle 2"/>
    <w:basedOn w:val="Normal"/>
    <w:pPr>
      <w:spacing w:after="240"/>
      <w:jc w:val="center"/>
    </w:pPr>
    <w:rPr>
      <w:b w:val="1"/>
      <w:sz w:val="32"/>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link w:val="GvdeMetni2Char"/>
    <w:rsid w:val="00AE7D13"/>
    <w:pPr>
      <w:tabs>
        <w:tab w:val="num" w:pos="567"/>
      </w:tabs>
      <w:spacing w:after="0" w:before="0"/>
      <w:jc w:val="both"/>
    </w:pPr>
    <w:rPr>
      <w:rFonts w:ascii="Times New Roman" w:hAnsi="Times New Roman"/>
      <w:snapToGrid w:val="1"/>
      <w:sz w:val="24"/>
      <w:lang w:eastAsia="en-GB" w:val="sv-SE"/>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DE13B8"/>
    <w:rPr>
      <w:rFonts w:ascii="Tahoma" w:cs="Tahoma" w:hAnsi="Tahoma"/>
      <w:sz w:val="16"/>
      <w:szCs w:val="16"/>
    </w:rPr>
  </w:style>
  <w:style w:type="paragraph" w:styleId="StyleHeading1TimesNewRoman14ptItalic" w:customStyle="1">
    <w:name w:val="Style Heading 1 + Times New Roman 14 pt Italic"/>
    <w:basedOn w:val="Balk1"/>
    <w:autoRedefine w:val="1"/>
    <w:rsid w:val="0047783A"/>
    <w:pPr>
      <w:numPr>
        <w:numId w:val="1"/>
      </w:numPr>
      <w:tabs>
        <w:tab w:val="right" w:pos="567"/>
      </w:tabs>
    </w:pPr>
    <w:rPr>
      <w:rFonts w:ascii="Times New Roman" w:hAnsi="Times New Roman"/>
      <w:bCs w:val="1"/>
      <w:iCs w:val="1"/>
      <w:sz w:val="24"/>
      <w:szCs w:val="24"/>
    </w:rPr>
  </w:style>
  <w:style w:type="character" w:styleId="Balk2Char" w:customStyle="1">
    <w:name w:val="Başlık 2 Char"/>
    <w:link w:val="Balk2"/>
    <w:semiHidden w:val="1"/>
    <w:locked w:val="1"/>
    <w:rsid w:val="0047783A"/>
    <w:rPr>
      <w:rFonts w:ascii="Arial" w:hAnsi="Arial"/>
      <w:snapToGrid w:val="0"/>
      <w:lang w:bidi="ar-SA" w:eastAsia="en-US" w:val="fr-BE"/>
    </w:rPr>
  </w:style>
  <w:style w:type="character" w:styleId="Balk1Char" w:customStyle="1">
    <w:name w:val="Başlık 1 Char"/>
    <w:link w:val="Balk1"/>
    <w:rsid w:val="0047783A"/>
    <w:rPr>
      <w:rFonts w:ascii="Arial" w:hAnsi="Arial"/>
      <w:b w:val="1"/>
      <w:snapToGrid w:val="0"/>
      <w:lang w:bidi="ar-SA" w:eastAsia="en-US" w:val="fr-BE"/>
    </w:rPr>
  </w:style>
  <w:style w:type="character" w:styleId="Heading1Char" w:customStyle="1">
    <w:name w:val="Heading 1 Char"/>
    <w:locked w:val="1"/>
    <w:rsid w:val="0047783A"/>
    <w:rPr>
      <w:b w:val="1"/>
      <w:sz w:val="24"/>
      <w:szCs w:val="24"/>
      <w:lang w:bidi="ar-SA" w:eastAsia="en-US" w:val="en-GB"/>
    </w:rPr>
  </w:style>
  <w:style w:type="character" w:styleId="Balk3Char" w:customStyle="1">
    <w:name w:val="Başlık 3 Char"/>
    <w:link w:val="Balk3"/>
    <w:semiHidden w:val="1"/>
    <w:locked w:val="1"/>
    <w:rsid w:val="0047783A"/>
    <w:rPr>
      <w:rFonts w:ascii="Arial" w:hAnsi="Arial"/>
      <w:snapToGrid w:val="0"/>
      <w:lang w:bidi="ar-SA" w:eastAsia="en-US" w:val="en-GB"/>
    </w:rPr>
  </w:style>
  <w:style w:type="character" w:styleId="Balk4Char" w:customStyle="1">
    <w:name w:val="Başlık 4 Char"/>
    <w:link w:val="Balk4"/>
    <w:semiHidden w:val="1"/>
    <w:locked w:val="1"/>
    <w:rsid w:val="0047783A"/>
    <w:rPr>
      <w:rFonts w:ascii="Arial" w:hAnsi="Arial"/>
      <w:b w:val="1"/>
      <w:snapToGrid w:val="0"/>
      <w:sz w:val="24"/>
      <w:lang w:bidi="ar-SA" w:eastAsia="en-US" w:val="sv-SE"/>
    </w:rPr>
  </w:style>
  <w:style w:type="character" w:styleId="Balk5Char" w:customStyle="1">
    <w:name w:val="Başlık 5 Char"/>
    <w:link w:val="Balk5"/>
    <w:semiHidden w:val="1"/>
    <w:locked w:val="1"/>
    <w:rsid w:val="0047783A"/>
    <w:rPr>
      <w:rFonts w:ascii="Arial" w:hAnsi="Arial"/>
      <w:snapToGrid w:val="0"/>
      <w:sz w:val="22"/>
      <w:lang w:bidi="ar-SA" w:eastAsia="en-US" w:val="sv-SE"/>
    </w:rPr>
  </w:style>
  <w:style w:type="character" w:styleId="Balk6Char" w:customStyle="1">
    <w:name w:val="Başlık 6 Char"/>
    <w:link w:val="Balk6"/>
    <w:semiHidden w:val="1"/>
    <w:locked w:val="1"/>
    <w:rsid w:val="0047783A"/>
    <w:rPr>
      <w:rFonts w:ascii="Arial" w:hAnsi="Arial"/>
      <w:i w:val="1"/>
      <w:snapToGrid w:val="0"/>
      <w:sz w:val="22"/>
      <w:lang w:bidi="ar-SA" w:eastAsia="en-US" w:val="sv-SE"/>
    </w:rPr>
  </w:style>
  <w:style w:type="character" w:styleId="Balk7Char" w:customStyle="1">
    <w:name w:val="Başlık 7 Char"/>
    <w:link w:val="Balk7"/>
    <w:semiHidden w:val="1"/>
    <w:locked w:val="1"/>
    <w:rsid w:val="0047783A"/>
    <w:rPr>
      <w:rFonts w:ascii="Arial" w:hAnsi="Arial"/>
      <w:snapToGrid w:val="0"/>
      <w:lang w:bidi="ar-SA" w:eastAsia="en-US" w:val="sv-SE"/>
    </w:rPr>
  </w:style>
  <w:style w:type="character" w:styleId="Balk8Char" w:customStyle="1">
    <w:name w:val="Başlık 8 Char"/>
    <w:link w:val="Balk8"/>
    <w:semiHidden w:val="1"/>
    <w:locked w:val="1"/>
    <w:rsid w:val="0047783A"/>
    <w:rPr>
      <w:rFonts w:ascii="Arial" w:hAnsi="Arial"/>
      <w:i w:val="1"/>
      <w:snapToGrid w:val="0"/>
      <w:lang w:bidi="ar-SA" w:eastAsia="en-US" w:val="sv-SE"/>
    </w:rPr>
  </w:style>
  <w:style w:type="character" w:styleId="Balk9Char" w:customStyle="1">
    <w:name w:val="Başlık 9 Char"/>
    <w:link w:val="Balk9"/>
    <w:semiHidden w:val="1"/>
    <w:locked w:val="1"/>
    <w:rsid w:val="0047783A"/>
    <w:rPr>
      <w:rFonts w:ascii="Arial" w:hAnsi="Arial"/>
      <w:b w:val="1"/>
      <w:i w:val="1"/>
      <w:snapToGrid w:val="0"/>
      <w:sz w:val="18"/>
      <w:lang w:bidi="ar-SA" w:eastAsia="en-US" w:val="sv-SE"/>
    </w:rPr>
  </w:style>
  <w:style w:type="character" w:styleId="KonuBalChar" w:customStyle="1">
    <w:name w:val="Konu Başlığı Char"/>
    <w:link w:val="KonuBal"/>
    <w:locked w:val="1"/>
    <w:rsid w:val="0047783A"/>
    <w:rPr>
      <w:rFonts w:ascii="Arial" w:hAnsi="Arial"/>
      <w:b w:val="1"/>
      <w:snapToGrid w:val="0"/>
      <w:sz w:val="28"/>
      <w:lang w:bidi="ar-SA" w:eastAsia="en-US" w:val="fr-BE"/>
    </w:rPr>
  </w:style>
  <w:style w:type="character" w:styleId="AltyazChar" w:customStyle="1">
    <w:name w:val="Altyazı Char"/>
    <w:link w:val="Altyaz"/>
    <w:locked w:val="1"/>
    <w:rsid w:val="0047783A"/>
    <w:rPr>
      <w:rFonts w:ascii="Arial" w:hAnsi="Arial"/>
      <w:b w:val="1"/>
      <w:snapToGrid w:val="0"/>
      <w:sz w:val="28"/>
      <w:lang w:bidi="ar-SA" w:eastAsia="en-US" w:val="fr-BE"/>
    </w:rPr>
  </w:style>
  <w:style w:type="character" w:styleId="GvdeMetniGirintisiChar" w:customStyle="1">
    <w:name w:val="Gövde Metni Girintisi Char"/>
    <w:link w:val="GvdeMetniGirintisi"/>
    <w:semiHidden w:val="1"/>
    <w:locked w:val="1"/>
    <w:rsid w:val="0047783A"/>
    <w:rPr>
      <w:snapToGrid w:val="0"/>
      <w:sz w:val="24"/>
      <w:lang w:bidi="ar-SA" w:eastAsia="en-US" w:val="sv-SE"/>
    </w:rPr>
  </w:style>
  <w:style w:type="character" w:styleId="GvdeMetniChar" w:customStyle="1">
    <w:name w:val="Gövde Metni Char"/>
    <w:link w:val="GvdeMetni"/>
    <w:semiHidden w:val="1"/>
    <w:locked w:val="1"/>
    <w:rsid w:val="0047783A"/>
    <w:rPr>
      <w:rFonts w:ascii="Arial" w:hAnsi="Arial"/>
      <w:snapToGrid w:val="0"/>
      <w:lang w:bidi="ar-SA" w:eastAsia="en-US" w:val="sv-SE"/>
    </w:rPr>
  </w:style>
  <w:style w:type="character" w:styleId="GvdeMetniGirintisi2Char" w:customStyle="1">
    <w:name w:val="Gövde Metni Girintisi 2 Char"/>
    <w:link w:val="GvdeMetniGirintisi2"/>
    <w:semiHidden w:val="1"/>
    <w:locked w:val="1"/>
    <w:rsid w:val="0047783A"/>
    <w:rPr>
      <w:rFonts w:ascii="Arial" w:hAnsi="Arial"/>
      <w:snapToGrid w:val="0"/>
      <w:sz w:val="24"/>
      <w:u w:val="single"/>
      <w:lang w:bidi="ar-SA" w:eastAsia="en-US" w:val="sv-SE"/>
    </w:rPr>
  </w:style>
  <w:style w:type="character" w:styleId="GvdeMetniGirintisi3Char" w:customStyle="1">
    <w:name w:val="Gövde Metni Girintisi 3 Char"/>
    <w:link w:val="GvdeMetniGirintisi3"/>
    <w:semiHidden w:val="1"/>
    <w:locked w:val="1"/>
    <w:rsid w:val="0047783A"/>
    <w:rPr>
      <w:rFonts w:ascii="Arial" w:hAnsi="Arial"/>
      <w:snapToGrid w:val="0"/>
      <w:sz w:val="24"/>
      <w:lang w:bidi="ar-SA" w:eastAsia="en-US" w:val="sv-SE"/>
    </w:rPr>
  </w:style>
  <w:style w:type="character" w:styleId="stBilgiChar" w:customStyle="1">
    <w:name w:val="Üst Bilgi Char"/>
    <w:link w:val="stBilgi"/>
    <w:semiHidden w:val="1"/>
    <w:locked w:val="1"/>
    <w:rsid w:val="0047783A"/>
    <w:rPr>
      <w:rFonts w:ascii="Arial" w:hAnsi="Arial"/>
      <w:snapToGrid w:val="0"/>
      <w:lang w:bidi="ar-SA" w:eastAsia="en-US" w:val="sv-SE"/>
    </w:rPr>
  </w:style>
  <w:style w:type="character" w:styleId="AltBilgiChar" w:customStyle="1">
    <w:name w:val="Alt Bilgi Char"/>
    <w:link w:val="AltBilgi"/>
    <w:uiPriority w:val="99"/>
    <w:locked w:val="1"/>
    <w:rsid w:val="0047783A"/>
    <w:rPr>
      <w:rFonts w:ascii="Arial" w:hAnsi="Arial"/>
      <w:snapToGrid w:val="0"/>
      <w:lang w:bidi="ar-SA" w:eastAsia="en-US" w:val="sv-SE"/>
    </w:rPr>
  </w:style>
  <w:style w:type="character" w:styleId="GvdeMetni3Char" w:customStyle="1">
    <w:name w:val="Gövde Metni 3 Char"/>
    <w:link w:val="GvdeMetni3"/>
    <w:semiHidden w:val="1"/>
    <w:locked w:val="1"/>
    <w:rsid w:val="0047783A"/>
    <w:rPr>
      <w:rFonts w:ascii="Arial" w:hAnsi="Arial"/>
      <w:b w:val="1"/>
      <w:snapToGrid w:val="0"/>
      <w:sz w:val="24"/>
      <w:lang w:bidi="ar-SA" w:eastAsia="en-US" w:val="en-GB"/>
    </w:rPr>
  </w:style>
  <w:style w:type="character" w:styleId="FootnoteTextChar" w:customStyle="1">
    <w:name w:val="Footnote Text Char"/>
    <w:aliases w:val="Schriftart: 9 pt Char,Schriftart: 10 pt Char,Schriftart: 8 pt Char,WB-Fußnotentext Char,FoodNote Char,ft Char,Footnote Char,Footnote Text Char Char Char,Footnote Text Char1 Char Char Char,Footnote Text Char Char Char Char Char,fn Char"/>
    <w:locked w:val="1"/>
    <w:rsid w:val="0047783A"/>
    <w:rPr>
      <w:rFonts w:ascii="Arial" w:hAnsi="Arial"/>
      <w:snapToGrid w:val="0"/>
      <w:lang w:bidi="ar-SA" w:eastAsia="en-US" w:val="fr-FR"/>
    </w:rPr>
  </w:style>
  <w:style w:type="character" w:styleId="BelgeBalantlarChar" w:customStyle="1">
    <w:name w:val="Belge Bağlantıları Char"/>
    <w:link w:val="BelgeBalantlar"/>
    <w:semiHidden w:val="1"/>
    <w:locked w:val="1"/>
    <w:rsid w:val="0047783A"/>
    <w:rPr>
      <w:rFonts w:ascii="Arial" w:hAnsi="Arial"/>
      <w:snapToGrid w:val="0"/>
      <w:sz w:val="24"/>
      <w:lang w:bidi="ar-SA" w:eastAsia="en-US" w:val="fr-FR"/>
    </w:rPr>
  </w:style>
  <w:style w:type="character" w:styleId="GvdeMetni2Char" w:customStyle="1">
    <w:name w:val="Gövde Metni 2 Char"/>
    <w:link w:val="GvdeMetni2"/>
    <w:semiHidden w:val="1"/>
    <w:locked w:val="1"/>
    <w:rsid w:val="0047783A"/>
    <w:rPr>
      <w:sz w:val="24"/>
      <w:lang w:bidi="ar-SA" w:eastAsia="en-GB" w:val="sv-SE"/>
    </w:rPr>
  </w:style>
  <w:style w:type="paragraph" w:styleId="StyleHeading3" w:customStyle="1">
    <w:name w:val="Style Heading 3"/>
    <w:basedOn w:val="Normal"/>
    <w:rsid w:val="0047783A"/>
    <w:pPr>
      <w:tabs>
        <w:tab w:val="num" w:pos="567"/>
      </w:tabs>
      <w:ind w:left="1134" w:hanging="567"/>
    </w:pPr>
    <w:rPr>
      <w:snapToGrid w:val="1"/>
    </w:rPr>
  </w:style>
  <w:style w:type="paragraph" w:styleId="Style11ptBlackJustifiedRight001cmBefore865ptL" w:customStyle="1">
    <w:name w:val="Style 11 pt Black Justified Right:  001 cm Before:  865 pt L..."/>
    <w:basedOn w:val="Normal"/>
    <w:next w:val="Normal"/>
    <w:autoRedefine w:val="1"/>
    <w:rsid w:val="0047783A"/>
    <w:pPr>
      <w:numPr>
        <w:numId w:val="11"/>
      </w:numPr>
      <w:shd w:color="auto" w:fill="ffffff" w:val="clear"/>
      <w:tabs>
        <w:tab w:val="right" w:pos="1701"/>
      </w:tabs>
      <w:spacing w:before="60" w:line="212" w:lineRule="exact"/>
      <w:ind w:right="6"/>
      <w:jc w:val="both"/>
    </w:pPr>
    <w:rPr>
      <w:rFonts w:ascii="Times New Roman" w:hAnsi="Times New Roman"/>
      <w:snapToGrid w:val="1"/>
      <w:color w:val="000000"/>
      <w:sz w:val="22"/>
      <w:lang w:eastAsia="en-GB"/>
    </w:rPr>
  </w:style>
  <w:style w:type="character" w:styleId="SonnotBavurusu">
    <w:name w:val="endnote reference"/>
    <w:semiHidden w:val="1"/>
    <w:rsid w:val="0047783A"/>
    <w:rPr>
      <w:vertAlign w:val="superscript"/>
    </w:rPr>
  </w:style>
  <w:style w:type="paragraph" w:styleId="SonnotMetni">
    <w:name w:val="endnote text"/>
    <w:basedOn w:val="Normal"/>
    <w:semiHidden w:val="1"/>
    <w:rsid w:val="0047783A"/>
  </w:style>
  <w:style w:type="paragraph" w:styleId="NormalInd1" w:customStyle="1">
    <w:name w:val="Normal Ind 1"/>
    <w:basedOn w:val="Normal"/>
    <w:rsid w:val="0047783A"/>
    <w:pPr>
      <w:tabs>
        <w:tab w:val="left" w:pos="2268"/>
      </w:tabs>
      <w:overflowPunct w:val="0"/>
      <w:autoSpaceDE w:val="0"/>
      <w:autoSpaceDN w:val="0"/>
      <w:adjustRightInd w:val="0"/>
      <w:spacing w:after="0" w:before="0"/>
      <w:ind w:left="567"/>
      <w:textAlignment w:val="baseline"/>
    </w:pPr>
    <w:rPr>
      <w:rFonts w:ascii="Times New Roman" w:hAnsi="Times New Roman"/>
      <w:bCs w:val="1"/>
      <w:snapToGrid w:val="1"/>
      <w:sz w:val="22"/>
      <w:szCs w:val="22"/>
      <w:lang w:val="fr-FR"/>
    </w:rPr>
  </w:style>
  <w:style w:type="character" w:styleId="Style11pt" w:customStyle="1">
    <w:name w:val="Style 11 pt"/>
    <w:rsid w:val="0047783A"/>
    <w:rPr>
      <w:sz w:val="22"/>
    </w:rPr>
  </w:style>
  <w:style w:type="paragraph" w:styleId="Char2" w:customStyle="1">
    <w:name w:val="Char2"/>
    <w:basedOn w:val="Normal"/>
    <w:rsid w:val="0047783A"/>
    <w:pPr>
      <w:spacing w:after="160" w:before="0" w:line="240" w:lineRule="exact"/>
    </w:pPr>
    <w:rPr>
      <w:rFonts w:ascii="Tahoma" w:hAnsi="Tahoma"/>
      <w:snapToGrid w:val="1"/>
      <w:lang w:val="en-US"/>
    </w:rPr>
  </w:style>
  <w:style w:type="character" w:styleId="AklamaBavurusu">
    <w:name w:val="annotation reference"/>
    <w:uiPriority w:val="99"/>
    <w:semiHidden w:val="1"/>
    <w:rsid w:val="00EE23B1"/>
    <w:rPr>
      <w:sz w:val="16"/>
      <w:szCs w:val="16"/>
    </w:rPr>
  </w:style>
  <w:style w:type="paragraph" w:styleId="AklamaMetni">
    <w:name w:val="annotation text"/>
    <w:basedOn w:val="Normal"/>
    <w:link w:val="AklamaMetniChar"/>
    <w:semiHidden w:val="1"/>
    <w:rsid w:val="00EE23B1"/>
  </w:style>
  <w:style w:type="paragraph" w:styleId="AklamaKonusu">
    <w:name w:val="annotation subject"/>
    <w:basedOn w:val="AklamaMetni"/>
    <w:next w:val="AklamaMetni"/>
    <w:semiHidden w:val="1"/>
    <w:rsid w:val="00EE23B1"/>
    <w:rPr>
      <w:b w:val="1"/>
      <w:bCs w:val="1"/>
    </w:rPr>
  </w:style>
  <w:style w:type="paragraph" w:styleId="ListeNumaras">
    <w:name w:val="List Number"/>
    <w:basedOn w:val="Normal"/>
    <w:rsid w:val="00EB45CB"/>
    <w:pPr>
      <w:numPr>
        <w:numId w:val="18"/>
      </w:numPr>
      <w:spacing w:after="240" w:before="0"/>
      <w:jc w:val="both"/>
    </w:pPr>
    <w:rPr>
      <w:rFonts w:ascii="Times New Roman" w:hAnsi="Times New Roman"/>
      <w:snapToGrid w:val="1"/>
      <w:sz w:val="24"/>
    </w:rPr>
  </w:style>
  <w:style w:type="paragraph" w:styleId="ListNumberLevel2" w:customStyle="1">
    <w:name w:val="List Number (Level 2)"/>
    <w:basedOn w:val="Normal"/>
    <w:rsid w:val="00EB45CB"/>
    <w:pPr>
      <w:numPr>
        <w:ilvl w:val="1"/>
        <w:numId w:val="18"/>
      </w:numPr>
      <w:spacing w:after="240" w:before="0"/>
      <w:jc w:val="both"/>
    </w:pPr>
    <w:rPr>
      <w:rFonts w:ascii="Times New Roman" w:hAnsi="Times New Roman"/>
      <w:snapToGrid w:val="1"/>
      <w:sz w:val="24"/>
    </w:rPr>
  </w:style>
  <w:style w:type="paragraph" w:styleId="ListNumberLevel3" w:customStyle="1">
    <w:name w:val="List Number (Level 3)"/>
    <w:basedOn w:val="Normal"/>
    <w:rsid w:val="00EB45CB"/>
    <w:pPr>
      <w:numPr>
        <w:ilvl w:val="2"/>
        <w:numId w:val="18"/>
      </w:numPr>
      <w:spacing w:after="240" w:before="0"/>
      <w:jc w:val="both"/>
    </w:pPr>
    <w:rPr>
      <w:rFonts w:ascii="Times New Roman" w:hAnsi="Times New Roman"/>
      <w:snapToGrid w:val="1"/>
      <w:sz w:val="24"/>
    </w:rPr>
  </w:style>
  <w:style w:type="paragraph" w:styleId="ListNumberLevel4" w:customStyle="1">
    <w:name w:val="List Number (Level 4)"/>
    <w:basedOn w:val="Normal"/>
    <w:rsid w:val="00EB45CB"/>
    <w:pPr>
      <w:numPr>
        <w:ilvl w:val="3"/>
        <w:numId w:val="18"/>
      </w:numPr>
      <w:spacing w:after="240" w:before="0"/>
      <w:jc w:val="both"/>
    </w:pPr>
    <w:rPr>
      <w:rFonts w:ascii="Times New Roman" w:hAnsi="Times New Roman"/>
      <w:snapToGrid w:val="1"/>
      <w:sz w:val="24"/>
    </w:rPr>
  </w:style>
  <w:style w:type="character" w:styleId="AklamaMetniChar" w:customStyle="1">
    <w:name w:val="Açıklama Metni Char"/>
    <w:link w:val="AklamaMetni"/>
    <w:semiHidden w:val="1"/>
    <w:rsid w:val="00240B1F"/>
    <w:rPr>
      <w:rFonts w:ascii="Arial" w:hAnsi="Arial"/>
      <w:snapToGrid w:val="0"/>
      <w:lang w:eastAsia="en-US"/>
    </w:rPr>
  </w:style>
  <w:style w:type="paragraph" w:styleId="Dzeltme">
    <w:name w:val="Revision"/>
    <w:hidden w:val="1"/>
    <w:uiPriority w:val="99"/>
    <w:semiHidden w:val="1"/>
    <w:rsid w:val="00AB3A36"/>
    <w:rPr>
      <w:rFonts w:ascii="Arial" w:hAnsi="Arial"/>
      <w:snapToGrid w:val="0"/>
      <w:lang w:eastAsia="en-US"/>
    </w:rPr>
  </w:style>
  <w:style w:type="paragraph" w:styleId="Default" w:customStyle="1">
    <w:name w:val="Default"/>
    <w:rsid w:val="00E76535"/>
    <w:pPr>
      <w:autoSpaceDE w:val="0"/>
      <w:autoSpaceDN w:val="0"/>
      <w:adjustRightInd w:val="0"/>
    </w:pPr>
    <w:rPr>
      <w:color w:val="000000"/>
      <w:sz w:val="24"/>
      <w:szCs w:val="24"/>
    </w:rPr>
  </w:style>
  <w:style w:type="paragraph" w:styleId="ListeParagraf">
    <w:name w:val="List Paragraph"/>
    <w:basedOn w:val="Normal"/>
    <w:uiPriority w:val="34"/>
    <w:qFormat w:val="1"/>
    <w:rsid w:val="00583FF3"/>
    <w:pPr>
      <w:spacing w:after="0" w:before="0"/>
      <w:ind w:left="720"/>
    </w:pPr>
    <w:rPr>
      <w:rFonts w:ascii="Calibri" w:eastAsia="Calibri" w:hAnsi="Calibri"/>
      <w:snapToGrid w:val="1"/>
      <w:sz w:val="22"/>
      <w:szCs w:val="22"/>
    </w:rPr>
  </w:style>
  <w:style w:type="paragraph" w:styleId="Text1" w:customStyle="1">
    <w:name w:val="Text 1"/>
    <w:basedOn w:val="Normal"/>
    <w:rsid w:val="00F0405C"/>
    <w:pPr>
      <w:spacing w:after="240" w:before="0"/>
      <w:ind w:left="482"/>
      <w:jc w:val="both"/>
    </w:pPr>
    <w:rPr>
      <w:rFonts w:ascii="Times New Roman" w:eastAsia="Calibri" w:hAnsi="Times New Roman"/>
      <w:snapToGrid w:val="1"/>
      <w:sz w:val="24"/>
      <w:szCs w:val="24"/>
    </w:rPr>
  </w:style>
  <w:style w:type="paragraph" w:styleId="Subtitle">
    <w:name w:val="Subtitle"/>
    <w:basedOn w:val="Normal"/>
    <w:next w:val="Normal"/>
    <w:pPr>
      <w:jc w:val="center"/>
    </w:pPr>
    <w:rPr>
      <w:b w:val="1"/>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dilara@redi-ngo.e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KnaCg+38r35WLsIPas2L3hPReg==">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2025-02-17T21:10:00Z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ies>
</file>